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F9F13" w14:textId="49ED36CF" w:rsidR="00D57983" w:rsidRPr="0058147F" w:rsidRDefault="00D57983" w:rsidP="00D57983">
      <w:pPr>
        <w:pBdr>
          <w:bottom w:val="single" w:sz="8" w:space="1" w:color="006B6E"/>
        </w:pBdr>
        <w:rPr>
          <w:rFonts w:ascii="Calibri Light" w:hAnsi="Calibri Light"/>
          <w:b/>
          <w:color w:val="006B6E"/>
          <w:sz w:val="36"/>
          <w:szCs w:val="36"/>
        </w:rPr>
      </w:pPr>
      <w:r w:rsidRPr="0058147F">
        <w:rPr>
          <w:rFonts w:ascii="Calibri Light" w:hAnsi="Calibri Light"/>
          <w:b/>
          <w:color w:val="006B6E"/>
          <w:sz w:val="36"/>
          <w:szCs w:val="36"/>
        </w:rPr>
        <w:t xml:space="preserve">Corporate Transparency Act/Beneficial Ownership Information Reporting — </w:t>
      </w:r>
      <w:r>
        <w:rPr>
          <w:rFonts w:ascii="Calibri Light" w:hAnsi="Calibri Light"/>
          <w:b/>
          <w:color w:val="006B6E"/>
          <w:sz w:val="36"/>
          <w:szCs w:val="36"/>
        </w:rPr>
        <w:t>Coverage</w:t>
      </w:r>
      <w:r w:rsidRPr="0058147F">
        <w:rPr>
          <w:rFonts w:ascii="Calibri Light" w:hAnsi="Calibri Light"/>
          <w:b/>
          <w:color w:val="006B6E"/>
          <w:sz w:val="36"/>
          <w:szCs w:val="36"/>
        </w:rPr>
        <w:t xml:space="preserve"> Considerations for CPA Firms</w:t>
      </w:r>
    </w:p>
    <w:p w14:paraId="3374F026" w14:textId="77777777" w:rsidR="006F0C26" w:rsidRPr="00141AC8" w:rsidRDefault="006F0C26" w:rsidP="006F0C26">
      <w:pPr>
        <w:tabs>
          <w:tab w:val="left" w:pos="0"/>
        </w:tabs>
        <w:jc w:val="center"/>
        <w:rPr>
          <w:rFonts w:ascii="Arial" w:hAnsi="Arial" w:cs="Arial"/>
          <w:b/>
          <w:bCs/>
        </w:rPr>
      </w:pPr>
    </w:p>
    <w:p w14:paraId="418A636C" w14:textId="199D102B" w:rsidR="00141AC8" w:rsidRPr="005C5BE5" w:rsidRDefault="00B555C1" w:rsidP="00057164">
      <w:pPr>
        <w:spacing w:afterLines="160" w:after="384"/>
        <w:contextualSpacing/>
        <w:jc w:val="both"/>
        <w:rPr>
          <w:rFonts w:ascii="Arial" w:eastAsia="Times New Roman" w:hAnsi="Arial" w:cs="Arial"/>
          <w:b/>
          <w:bCs/>
          <w:color w:val="1E1E1E"/>
          <w:sz w:val="22"/>
          <w:szCs w:val="22"/>
        </w:rPr>
      </w:pPr>
      <w:r w:rsidRPr="005C5BE5">
        <w:rPr>
          <w:rFonts w:ascii="Arial" w:eastAsia="Times New Roman" w:hAnsi="Arial" w:cs="Arial"/>
          <w:b/>
          <w:bCs/>
          <w:color w:val="1E1E1E"/>
          <w:sz w:val="22"/>
          <w:szCs w:val="22"/>
        </w:rPr>
        <w:t xml:space="preserve">CAMICO leads the way </w:t>
      </w:r>
      <w:r w:rsidR="00BF6A62" w:rsidRPr="005C5BE5">
        <w:rPr>
          <w:rFonts w:ascii="Arial" w:eastAsia="Times New Roman" w:hAnsi="Arial" w:cs="Arial"/>
          <w:b/>
          <w:bCs/>
          <w:color w:val="1E1E1E"/>
          <w:sz w:val="22"/>
          <w:szCs w:val="22"/>
        </w:rPr>
        <w:t xml:space="preserve">for the CPA profession </w:t>
      </w:r>
      <w:r w:rsidRPr="005C5BE5">
        <w:rPr>
          <w:rFonts w:ascii="Arial" w:eastAsia="Times New Roman" w:hAnsi="Arial" w:cs="Arial"/>
          <w:b/>
          <w:bCs/>
          <w:color w:val="1E1E1E"/>
          <w:sz w:val="22"/>
          <w:szCs w:val="22"/>
        </w:rPr>
        <w:t>with risk management tools and advice including available engagement letter templates and a sample management representation letter.</w:t>
      </w:r>
    </w:p>
    <w:p w14:paraId="594501C1" w14:textId="77777777" w:rsidR="00B555C1" w:rsidRPr="005C5BE5" w:rsidRDefault="00B555C1" w:rsidP="000112B5">
      <w:pPr>
        <w:spacing w:afterLines="160" w:after="384"/>
        <w:contextualSpacing/>
        <w:jc w:val="both"/>
        <w:rPr>
          <w:rFonts w:ascii="Arial" w:eastAsia="Times New Roman" w:hAnsi="Arial" w:cs="Arial"/>
          <w:color w:val="1E1E1E"/>
          <w:sz w:val="22"/>
          <w:szCs w:val="22"/>
        </w:rPr>
      </w:pPr>
    </w:p>
    <w:p w14:paraId="2D41980F" w14:textId="5FD81B94" w:rsidR="00141AC8" w:rsidRPr="005C5BE5" w:rsidRDefault="00141AC8" w:rsidP="000112B5">
      <w:pPr>
        <w:spacing w:afterLines="160" w:after="384"/>
        <w:contextualSpacing/>
        <w:jc w:val="both"/>
        <w:rPr>
          <w:rFonts w:ascii="Arial" w:eastAsia="Times New Roman" w:hAnsi="Arial" w:cs="Arial"/>
          <w:sz w:val="22"/>
          <w:szCs w:val="22"/>
        </w:rPr>
      </w:pPr>
      <w:r w:rsidRPr="005C5BE5">
        <w:rPr>
          <w:rFonts w:ascii="Arial" w:eastAsia="Times New Roman" w:hAnsi="Arial" w:cs="Arial"/>
          <w:color w:val="1E1E1E"/>
          <w:sz w:val="22"/>
          <w:szCs w:val="22"/>
        </w:rPr>
        <w:t>CAMICO continues to receive numerous inquiries from policyholders regarding coverage implications of assisting clients with the new beneficial ownership information (“BOI”) reporting under the Corporate Transparency Act (</w:t>
      </w:r>
      <w:r w:rsidR="000112B5">
        <w:rPr>
          <w:rFonts w:ascii="Arial" w:eastAsia="Times New Roman" w:hAnsi="Arial" w:cs="Arial"/>
          <w:color w:val="1E1E1E"/>
          <w:sz w:val="22"/>
          <w:szCs w:val="22"/>
        </w:rPr>
        <w:t>“</w:t>
      </w:r>
      <w:r w:rsidRPr="005C5BE5">
        <w:rPr>
          <w:rFonts w:ascii="Arial" w:eastAsia="Times New Roman" w:hAnsi="Arial" w:cs="Arial"/>
          <w:color w:val="1E1E1E"/>
          <w:sz w:val="22"/>
          <w:szCs w:val="22"/>
        </w:rPr>
        <w:t>CTA</w:t>
      </w:r>
      <w:r w:rsidR="000112B5">
        <w:rPr>
          <w:rFonts w:ascii="Arial" w:eastAsia="Times New Roman" w:hAnsi="Arial" w:cs="Arial"/>
          <w:color w:val="1E1E1E"/>
          <w:sz w:val="22"/>
          <w:szCs w:val="22"/>
        </w:rPr>
        <w:t>”</w:t>
      </w:r>
      <w:r w:rsidRPr="005C5BE5">
        <w:rPr>
          <w:rFonts w:ascii="Arial" w:eastAsia="Times New Roman" w:hAnsi="Arial" w:cs="Arial"/>
          <w:color w:val="1E1E1E"/>
          <w:sz w:val="22"/>
          <w:szCs w:val="22"/>
        </w:rPr>
        <w:t>) given the overarching concern that CPAs and non-attorney tax professionals helping clients in this arena could be deemed as engaging in the unauthorized practice of law (</w:t>
      </w:r>
      <w:r w:rsidR="000112B5">
        <w:rPr>
          <w:rFonts w:ascii="Arial" w:eastAsia="Times New Roman" w:hAnsi="Arial" w:cs="Arial"/>
          <w:color w:val="1E1E1E"/>
          <w:sz w:val="22"/>
          <w:szCs w:val="22"/>
        </w:rPr>
        <w:t>“</w:t>
      </w:r>
      <w:r w:rsidRPr="005C5BE5">
        <w:rPr>
          <w:rFonts w:ascii="Arial" w:eastAsia="Times New Roman" w:hAnsi="Arial" w:cs="Arial"/>
          <w:color w:val="1E1E1E"/>
          <w:sz w:val="22"/>
          <w:szCs w:val="22"/>
        </w:rPr>
        <w:t>UPL</w:t>
      </w:r>
      <w:r w:rsidR="000112B5">
        <w:rPr>
          <w:rFonts w:ascii="Arial" w:eastAsia="Times New Roman" w:hAnsi="Arial" w:cs="Arial"/>
          <w:color w:val="1E1E1E"/>
          <w:sz w:val="22"/>
          <w:szCs w:val="22"/>
        </w:rPr>
        <w:t>”</w:t>
      </w:r>
      <w:r w:rsidRPr="005C5BE5">
        <w:rPr>
          <w:rFonts w:ascii="Arial" w:eastAsia="Times New Roman" w:hAnsi="Arial" w:cs="Arial"/>
          <w:color w:val="1E1E1E"/>
          <w:sz w:val="22"/>
          <w:szCs w:val="22"/>
        </w:rPr>
        <w:t xml:space="preserve">). </w:t>
      </w:r>
      <w:r w:rsidR="006F0C26" w:rsidRPr="005C5BE5">
        <w:rPr>
          <w:rFonts w:ascii="Arial" w:hAnsi="Arial" w:cs="Arial"/>
          <w:sz w:val="22"/>
          <w:szCs w:val="22"/>
        </w:rPr>
        <w:t xml:space="preserve">CAMICO presents this </w:t>
      </w:r>
      <w:r w:rsidRPr="005C5BE5">
        <w:rPr>
          <w:rFonts w:ascii="Arial" w:hAnsi="Arial" w:cs="Arial"/>
          <w:sz w:val="22"/>
          <w:szCs w:val="22"/>
        </w:rPr>
        <w:t xml:space="preserve">document </w:t>
      </w:r>
      <w:r w:rsidR="006F0C26" w:rsidRPr="005C5BE5">
        <w:rPr>
          <w:rFonts w:ascii="Arial" w:hAnsi="Arial" w:cs="Arial"/>
          <w:sz w:val="22"/>
          <w:szCs w:val="22"/>
        </w:rPr>
        <w:t>for reference purposes only</w:t>
      </w:r>
      <w:r w:rsidR="006F0C26" w:rsidRPr="005C5BE5">
        <w:rPr>
          <w:rFonts w:ascii="Arial" w:eastAsia="Times New Roman" w:hAnsi="Arial" w:cs="Arial"/>
          <w:sz w:val="22"/>
          <w:szCs w:val="22"/>
        </w:rPr>
        <w:t xml:space="preserve"> to highlight common coverage</w:t>
      </w:r>
      <w:r w:rsidR="000112B5">
        <w:rPr>
          <w:rFonts w:ascii="Arial" w:eastAsia="Times New Roman" w:hAnsi="Arial" w:cs="Arial"/>
          <w:sz w:val="22"/>
          <w:szCs w:val="22"/>
        </w:rPr>
        <w:t>-</w:t>
      </w:r>
      <w:r w:rsidR="006F0C26" w:rsidRPr="005C5BE5">
        <w:rPr>
          <w:rFonts w:ascii="Arial" w:eastAsia="Times New Roman" w:hAnsi="Arial" w:cs="Arial"/>
          <w:sz w:val="22"/>
          <w:szCs w:val="22"/>
        </w:rPr>
        <w:t>related inquiries received from policyholders related to the new beneficial ownership reporting rules under the Corporate Transparency Act.</w:t>
      </w:r>
      <w:r w:rsidR="00BA3DBF" w:rsidRPr="005C5BE5">
        <w:rPr>
          <w:rFonts w:ascii="Arial" w:eastAsia="Times New Roman" w:hAnsi="Arial" w:cs="Arial"/>
          <w:sz w:val="22"/>
          <w:szCs w:val="22"/>
        </w:rPr>
        <w:t xml:space="preserve"> </w:t>
      </w:r>
    </w:p>
    <w:p w14:paraId="0902AC94" w14:textId="77777777" w:rsidR="00141AC8" w:rsidRPr="005C5BE5" w:rsidRDefault="00141AC8" w:rsidP="00141AC8">
      <w:pPr>
        <w:spacing w:afterLines="160" w:after="384"/>
        <w:contextualSpacing/>
        <w:jc w:val="both"/>
        <w:rPr>
          <w:rFonts w:ascii="Arial" w:eastAsia="Times New Roman" w:hAnsi="Arial" w:cs="Arial"/>
          <w:sz w:val="22"/>
          <w:szCs w:val="22"/>
        </w:rPr>
      </w:pPr>
    </w:p>
    <w:p w14:paraId="3E8B58B5" w14:textId="487343F3" w:rsidR="00AA4BF9" w:rsidRPr="005C5BE5" w:rsidRDefault="00BA3DBF" w:rsidP="00141AC8">
      <w:pPr>
        <w:spacing w:afterLines="160" w:after="384"/>
        <w:contextualSpacing/>
        <w:jc w:val="both"/>
        <w:rPr>
          <w:rFonts w:ascii="Arial" w:hAnsi="Arial" w:cs="Arial"/>
          <w:sz w:val="22"/>
          <w:szCs w:val="22"/>
          <w:shd w:val="clear" w:color="auto" w:fill="FFFFFF"/>
        </w:rPr>
      </w:pPr>
      <w:r w:rsidRPr="005C5BE5">
        <w:rPr>
          <w:rFonts w:ascii="Arial" w:hAnsi="Arial" w:cs="Arial"/>
          <w:sz w:val="22"/>
          <w:szCs w:val="22"/>
          <w:shd w:val="clear" w:color="auto" w:fill="FFFFFF"/>
        </w:rPr>
        <w:t>If you have any specific coverage-related questions, please contact CAMICO at 1.800.652.1772</w:t>
      </w:r>
      <w:r w:rsidR="00AA4BF9" w:rsidRPr="005C5BE5">
        <w:rPr>
          <w:rFonts w:ascii="Arial" w:hAnsi="Arial" w:cs="Arial"/>
          <w:sz w:val="22"/>
          <w:szCs w:val="22"/>
          <w:shd w:val="clear" w:color="auto" w:fill="FFFFFF"/>
        </w:rPr>
        <w:t xml:space="preserve">, </w:t>
      </w:r>
      <w:r w:rsidRPr="005C5BE5">
        <w:rPr>
          <w:rFonts w:ascii="Arial" w:hAnsi="Arial" w:cs="Arial"/>
          <w:sz w:val="22"/>
          <w:szCs w:val="22"/>
          <w:shd w:val="clear" w:color="auto" w:fill="FFFFFF"/>
        </w:rPr>
        <w:t xml:space="preserve">and ask to speak with your underwriter. </w:t>
      </w:r>
    </w:p>
    <w:p w14:paraId="0BF8368B" w14:textId="3141053C" w:rsidR="006F0C26" w:rsidRPr="00E62599" w:rsidRDefault="006F0C26" w:rsidP="006F0C26">
      <w:pPr>
        <w:pStyle w:val="ListParagraph"/>
        <w:ind w:left="0"/>
        <w:rPr>
          <w:rFonts w:ascii="Arial" w:hAnsi="Arial" w:cs="Arial"/>
          <w:b/>
          <w:bCs/>
          <w:color w:val="006B6E"/>
          <w:sz w:val="24"/>
          <w:szCs w:val="24"/>
          <w:u w:val="single"/>
        </w:rPr>
      </w:pPr>
      <w:r w:rsidRPr="00E62599">
        <w:rPr>
          <w:rFonts w:ascii="Arial" w:hAnsi="Arial" w:cs="Arial"/>
          <w:b/>
          <w:bCs/>
          <w:color w:val="006B6E"/>
          <w:sz w:val="24"/>
          <w:szCs w:val="24"/>
          <w:u w:val="single"/>
        </w:rPr>
        <w:t>Coverage Implications</w:t>
      </w:r>
    </w:p>
    <w:p w14:paraId="4C5121DA" w14:textId="3FB696C5" w:rsidR="006F0C26" w:rsidRPr="005D78EA" w:rsidRDefault="006F0C26" w:rsidP="006F0C26">
      <w:pPr>
        <w:rPr>
          <w:rFonts w:ascii="Arial" w:hAnsi="Arial" w:cs="Arial"/>
          <w:b/>
          <w:bCs/>
          <w:sz w:val="22"/>
          <w:szCs w:val="22"/>
        </w:rPr>
      </w:pPr>
      <w:r w:rsidRPr="005D78EA">
        <w:rPr>
          <w:rFonts w:ascii="Arial" w:hAnsi="Arial" w:cs="Arial"/>
          <w:b/>
          <w:bCs/>
        </w:rPr>
        <w:t>Q</w:t>
      </w:r>
      <w:r w:rsidR="000E52A3" w:rsidRPr="005D78EA">
        <w:rPr>
          <w:rFonts w:ascii="Arial" w:hAnsi="Arial" w:cs="Arial"/>
          <w:b/>
          <w:bCs/>
        </w:rPr>
        <w:t>1</w:t>
      </w:r>
      <w:r w:rsidRPr="005D78EA">
        <w:rPr>
          <w:rFonts w:ascii="Arial" w:hAnsi="Arial" w:cs="Arial"/>
          <w:b/>
          <w:bCs/>
        </w:rPr>
        <w:t xml:space="preserve">. What are the </w:t>
      </w:r>
      <w:r w:rsidR="00742F30" w:rsidRPr="005D78EA">
        <w:rPr>
          <w:rFonts w:ascii="Arial" w:hAnsi="Arial" w:cs="Arial"/>
          <w:b/>
          <w:bCs/>
        </w:rPr>
        <w:t xml:space="preserve">general </w:t>
      </w:r>
      <w:r w:rsidRPr="005D78EA">
        <w:rPr>
          <w:rFonts w:ascii="Arial" w:hAnsi="Arial" w:cs="Arial"/>
          <w:b/>
          <w:bCs/>
        </w:rPr>
        <w:t xml:space="preserve">coverage implications, if any, under CAMICO’s professional liability policy for assisting clients with CTA-related services? </w:t>
      </w:r>
    </w:p>
    <w:p w14:paraId="5F8C7A3D" w14:textId="00A6E419" w:rsidR="006F0C26" w:rsidRPr="00216CB0" w:rsidRDefault="006F0C26" w:rsidP="00A83249">
      <w:pPr>
        <w:spacing w:before="100" w:beforeAutospacing="1" w:after="100" w:afterAutospacing="1"/>
        <w:ind w:left="720"/>
        <w:jc w:val="both"/>
        <w:rPr>
          <w:rFonts w:ascii="Arial" w:hAnsi="Arial" w:cs="Arial"/>
          <w:sz w:val="22"/>
          <w:szCs w:val="22"/>
        </w:rPr>
      </w:pPr>
      <w:r w:rsidRPr="00216CB0">
        <w:rPr>
          <w:rFonts w:ascii="Arial" w:hAnsi="Arial" w:cs="Arial"/>
          <w:b/>
          <w:bCs/>
          <w:sz w:val="22"/>
          <w:szCs w:val="22"/>
        </w:rPr>
        <w:t>A</w:t>
      </w:r>
      <w:r w:rsidR="000E52A3" w:rsidRPr="00216CB0">
        <w:rPr>
          <w:rFonts w:ascii="Arial" w:hAnsi="Arial" w:cs="Arial"/>
          <w:b/>
          <w:bCs/>
          <w:sz w:val="22"/>
          <w:szCs w:val="22"/>
        </w:rPr>
        <w:t>1</w:t>
      </w:r>
      <w:r w:rsidRPr="00216CB0">
        <w:rPr>
          <w:rFonts w:ascii="Arial" w:hAnsi="Arial" w:cs="Arial"/>
          <w:b/>
          <w:bCs/>
          <w:sz w:val="22"/>
          <w:szCs w:val="22"/>
        </w:rPr>
        <w:t xml:space="preserve">. </w:t>
      </w:r>
      <w:r w:rsidRPr="00216CB0">
        <w:rPr>
          <w:rFonts w:ascii="Arial" w:hAnsi="Arial" w:cs="Arial"/>
          <w:sz w:val="22"/>
          <w:szCs w:val="22"/>
        </w:rPr>
        <w:t xml:space="preserve">The CAMICO policy responds to a great variety of claims due to its broad definition of covered professional services. The use of a broad definition means that as new service areas arise, the policy does not need to be amended to extend coverage to the new services. Each claim is unique, however, and must be reviewed according to its specific allegations and in conjunction with all the terms and conditions of the policy. CAMICO intends that coverage will respond to the typical CTA claim we anticipate receiving, particularly if </w:t>
      </w:r>
      <w:r w:rsidR="00B47955" w:rsidRPr="00216CB0">
        <w:rPr>
          <w:rFonts w:ascii="Arial" w:hAnsi="Arial" w:cs="Arial"/>
          <w:sz w:val="22"/>
          <w:szCs w:val="22"/>
        </w:rPr>
        <w:t xml:space="preserve">at the time the services are rendered </w:t>
      </w:r>
      <w:r w:rsidRPr="00216CB0">
        <w:rPr>
          <w:rFonts w:ascii="Arial" w:hAnsi="Arial" w:cs="Arial"/>
          <w:sz w:val="22"/>
          <w:szCs w:val="22"/>
        </w:rPr>
        <w:t>both the state in which the firm and client reside ha</w:t>
      </w:r>
      <w:r w:rsidR="0089224C" w:rsidRPr="00216CB0">
        <w:rPr>
          <w:rFonts w:ascii="Arial" w:hAnsi="Arial" w:cs="Arial"/>
          <w:sz w:val="22"/>
          <w:szCs w:val="22"/>
        </w:rPr>
        <w:t>ve</w:t>
      </w:r>
      <w:r w:rsidRPr="00216CB0">
        <w:rPr>
          <w:rFonts w:ascii="Arial" w:hAnsi="Arial" w:cs="Arial"/>
          <w:sz w:val="22"/>
          <w:szCs w:val="22"/>
        </w:rPr>
        <w:t xml:space="preserve"> </w:t>
      </w:r>
      <w:r w:rsidR="0089224C" w:rsidRPr="00216CB0">
        <w:rPr>
          <w:rFonts w:ascii="Arial" w:hAnsi="Arial" w:cs="Arial"/>
          <w:sz w:val="22"/>
          <w:szCs w:val="22"/>
        </w:rPr>
        <w:t xml:space="preserve">not </w:t>
      </w:r>
      <w:r w:rsidRPr="00216CB0">
        <w:rPr>
          <w:rFonts w:ascii="Arial" w:hAnsi="Arial" w:cs="Arial"/>
          <w:sz w:val="22"/>
          <w:szCs w:val="22"/>
        </w:rPr>
        <w:t>deemed that providing CTA-related service</w:t>
      </w:r>
      <w:r w:rsidR="0089224C" w:rsidRPr="00216CB0">
        <w:rPr>
          <w:rFonts w:ascii="Arial" w:hAnsi="Arial" w:cs="Arial"/>
          <w:sz w:val="22"/>
          <w:szCs w:val="22"/>
        </w:rPr>
        <w:t>s</w:t>
      </w:r>
      <w:r w:rsidRPr="00216CB0">
        <w:rPr>
          <w:rFonts w:ascii="Arial" w:hAnsi="Arial" w:cs="Arial"/>
          <w:sz w:val="22"/>
          <w:szCs w:val="22"/>
        </w:rPr>
        <w:t xml:space="preserve"> </w:t>
      </w:r>
      <w:r w:rsidR="00742F30" w:rsidRPr="00216CB0">
        <w:rPr>
          <w:rFonts w:ascii="Arial" w:hAnsi="Arial" w:cs="Arial"/>
          <w:sz w:val="22"/>
          <w:szCs w:val="22"/>
        </w:rPr>
        <w:t>to be the</w:t>
      </w:r>
      <w:r w:rsidRPr="00216CB0">
        <w:rPr>
          <w:rFonts w:ascii="Arial" w:hAnsi="Arial" w:cs="Arial"/>
          <w:sz w:val="22"/>
          <w:szCs w:val="22"/>
        </w:rPr>
        <w:t xml:space="preserve"> unauthorized practice of law</w:t>
      </w:r>
      <w:r w:rsidR="00DB4D2D" w:rsidRPr="00216CB0">
        <w:rPr>
          <w:rFonts w:ascii="Arial" w:hAnsi="Arial" w:cs="Arial"/>
          <w:sz w:val="22"/>
          <w:szCs w:val="22"/>
        </w:rPr>
        <w:t xml:space="preserve"> (refer to </w:t>
      </w:r>
      <w:r w:rsidR="000112B5" w:rsidRPr="00216CB0">
        <w:rPr>
          <w:rFonts w:ascii="Arial" w:hAnsi="Arial" w:cs="Arial"/>
          <w:b/>
          <w:bCs/>
          <w:sz w:val="22"/>
          <w:szCs w:val="22"/>
        </w:rPr>
        <w:t xml:space="preserve">Question </w:t>
      </w:r>
      <w:r w:rsidR="00DB4D2D" w:rsidRPr="00216CB0">
        <w:rPr>
          <w:rFonts w:ascii="Arial" w:hAnsi="Arial" w:cs="Arial"/>
          <w:b/>
          <w:bCs/>
          <w:sz w:val="22"/>
          <w:szCs w:val="22"/>
        </w:rPr>
        <w:t>2</w:t>
      </w:r>
      <w:r w:rsidR="00DB4D2D" w:rsidRPr="00216CB0">
        <w:rPr>
          <w:rFonts w:ascii="Arial" w:hAnsi="Arial" w:cs="Arial"/>
          <w:sz w:val="22"/>
          <w:szCs w:val="22"/>
        </w:rPr>
        <w:t xml:space="preserve"> below)</w:t>
      </w:r>
      <w:r w:rsidRPr="00216CB0">
        <w:rPr>
          <w:rFonts w:ascii="Arial" w:hAnsi="Arial" w:cs="Arial"/>
          <w:sz w:val="22"/>
          <w:szCs w:val="22"/>
        </w:rPr>
        <w:t>.</w:t>
      </w:r>
    </w:p>
    <w:p w14:paraId="2B3A7265" w14:textId="1D8932B4" w:rsidR="006F0C26" w:rsidRPr="00216CB0" w:rsidRDefault="006F0C26" w:rsidP="00A83249">
      <w:pPr>
        <w:ind w:left="720"/>
        <w:jc w:val="both"/>
        <w:rPr>
          <w:rFonts w:ascii="Arial" w:hAnsi="Arial" w:cs="Arial"/>
          <w:sz w:val="22"/>
          <w:szCs w:val="22"/>
        </w:rPr>
      </w:pPr>
      <w:r w:rsidRPr="00216CB0">
        <w:rPr>
          <w:rFonts w:ascii="Arial" w:hAnsi="Arial" w:cs="Arial"/>
          <w:sz w:val="22"/>
          <w:szCs w:val="22"/>
        </w:rPr>
        <w:t xml:space="preserve">However, it is important to note that insurance companies are under strict regulatory guidelines </w:t>
      </w:r>
      <w:r w:rsidR="00AB1D97" w:rsidRPr="00216CB0">
        <w:rPr>
          <w:rFonts w:ascii="Arial" w:hAnsi="Arial" w:cs="Arial"/>
          <w:sz w:val="22"/>
          <w:szCs w:val="22"/>
        </w:rPr>
        <w:t xml:space="preserve">that </w:t>
      </w:r>
      <w:r w:rsidRPr="00216CB0">
        <w:rPr>
          <w:rFonts w:ascii="Arial" w:hAnsi="Arial" w:cs="Arial"/>
          <w:sz w:val="22"/>
          <w:szCs w:val="22"/>
        </w:rPr>
        <w:t>typically preclude carriers from insuring parties for their criminal acts. As such, professional liability policies, including those for accountants, have an exclusion for any claim based on, or arising from or related to, a criminal act. So, as UPL violations in some states may be treated as criminal matters, any such claims could trigger this exclusion.</w:t>
      </w:r>
    </w:p>
    <w:p w14:paraId="75CDBD09" w14:textId="77777777" w:rsidR="00F06B7B" w:rsidRPr="00216CB0" w:rsidRDefault="00F06B7B" w:rsidP="00A83249">
      <w:pPr>
        <w:ind w:left="720"/>
        <w:jc w:val="both"/>
        <w:rPr>
          <w:rFonts w:ascii="Arial" w:hAnsi="Arial" w:cs="Arial"/>
          <w:sz w:val="22"/>
          <w:szCs w:val="22"/>
          <w:shd w:val="clear" w:color="auto" w:fill="FFFFFF"/>
        </w:rPr>
      </w:pPr>
    </w:p>
    <w:p w14:paraId="27C32173" w14:textId="77777777" w:rsidR="000E52A3" w:rsidRPr="00B47955" w:rsidRDefault="000E52A3" w:rsidP="00A83249">
      <w:pPr>
        <w:jc w:val="both"/>
        <w:rPr>
          <w:rFonts w:ascii="Arial" w:hAnsi="Arial" w:cs="Arial"/>
          <w:sz w:val="22"/>
          <w:szCs w:val="22"/>
        </w:rPr>
      </w:pPr>
    </w:p>
    <w:p w14:paraId="43B60E9A" w14:textId="0E57B326" w:rsidR="000E52A3" w:rsidRPr="00B47955" w:rsidRDefault="000E52A3" w:rsidP="00A83249">
      <w:pPr>
        <w:jc w:val="both"/>
        <w:rPr>
          <w:rFonts w:ascii="Arial" w:hAnsi="Arial" w:cs="Arial"/>
          <w:b/>
          <w:bCs/>
          <w:sz w:val="22"/>
          <w:szCs w:val="22"/>
        </w:rPr>
      </w:pPr>
      <w:r w:rsidRPr="00B47955">
        <w:rPr>
          <w:rFonts w:ascii="Arial" w:hAnsi="Arial" w:cs="Arial"/>
          <w:b/>
          <w:bCs/>
          <w:sz w:val="22"/>
          <w:szCs w:val="22"/>
        </w:rPr>
        <w:t xml:space="preserve">Q2. Since no state has yet to provide a definitive statement on whether CTA-related advisory services would be considered the unauthorized practice of law, </w:t>
      </w:r>
      <w:r w:rsidR="006B3484" w:rsidRPr="00B47955">
        <w:rPr>
          <w:rFonts w:ascii="Arial" w:hAnsi="Arial" w:cs="Arial"/>
          <w:b/>
          <w:bCs/>
          <w:sz w:val="22"/>
          <w:szCs w:val="22"/>
        </w:rPr>
        <w:t xml:space="preserve">what happens </w:t>
      </w:r>
      <w:r w:rsidR="002B34F2" w:rsidRPr="00B47955">
        <w:rPr>
          <w:rFonts w:ascii="Arial" w:hAnsi="Arial" w:cs="Arial"/>
          <w:b/>
          <w:bCs/>
          <w:sz w:val="22"/>
          <w:szCs w:val="22"/>
        </w:rPr>
        <w:t xml:space="preserve">from a coverage perspective </w:t>
      </w:r>
      <w:r w:rsidR="00DA6A8B" w:rsidRPr="00B47955">
        <w:rPr>
          <w:rFonts w:ascii="Arial" w:hAnsi="Arial" w:cs="Arial"/>
          <w:b/>
          <w:bCs/>
          <w:sz w:val="22"/>
          <w:szCs w:val="22"/>
        </w:rPr>
        <w:t xml:space="preserve">if </w:t>
      </w:r>
      <w:proofErr w:type="gramStart"/>
      <w:r w:rsidR="00DA6A8B" w:rsidRPr="00B47955">
        <w:rPr>
          <w:rFonts w:ascii="Arial" w:hAnsi="Arial" w:cs="Arial"/>
          <w:b/>
          <w:bCs/>
          <w:sz w:val="22"/>
          <w:szCs w:val="22"/>
        </w:rPr>
        <w:t>at</w:t>
      </w:r>
      <w:r w:rsidRPr="00B47955">
        <w:rPr>
          <w:rFonts w:ascii="Arial" w:hAnsi="Arial" w:cs="Arial"/>
          <w:b/>
          <w:bCs/>
          <w:sz w:val="22"/>
          <w:szCs w:val="22"/>
        </w:rPr>
        <w:t xml:space="preserve"> a later date</w:t>
      </w:r>
      <w:proofErr w:type="gramEnd"/>
      <w:r w:rsidRPr="00B47955">
        <w:rPr>
          <w:rFonts w:ascii="Arial" w:hAnsi="Arial" w:cs="Arial"/>
          <w:b/>
          <w:bCs/>
          <w:sz w:val="22"/>
          <w:szCs w:val="22"/>
        </w:rPr>
        <w:t xml:space="preserve"> our state and/or the state in which the client resides determines that such services are in </w:t>
      </w:r>
      <w:r w:rsidR="00742F30" w:rsidRPr="00B47955">
        <w:rPr>
          <w:rFonts w:ascii="Arial" w:hAnsi="Arial" w:cs="Arial"/>
          <w:b/>
          <w:bCs/>
          <w:sz w:val="22"/>
          <w:szCs w:val="22"/>
        </w:rPr>
        <w:t>fact deemed</w:t>
      </w:r>
      <w:r w:rsidRPr="00B47955">
        <w:rPr>
          <w:rFonts w:ascii="Arial" w:hAnsi="Arial" w:cs="Arial"/>
          <w:b/>
          <w:bCs/>
          <w:sz w:val="22"/>
          <w:szCs w:val="22"/>
        </w:rPr>
        <w:t xml:space="preserve"> </w:t>
      </w:r>
      <w:r w:rsidR="00742F30" w:rsidRPr="00B47955">
        <w:rPr>
          <w:rFonts w:ascii="Arial" w:hAnsi="Arial" w:cs="Arial"/>
          <w:b/>
          <w:bCs/>
          <w:sz w:val="22"/>
          <w:szCs w:val="22"/>
        </w:rPr>
        <w:t xml:space="preserve">to be </w:t>
      </w:r>
      <w:r w:rsidRPr="00B47955">
        <w:rPr>
          <w:rFonts w:ascii="Arial" w:hAnsi="Arial" w:cs="Arial"/>
          <w:b/>
          <w:bCs/>
          <w:sz w:val="22"/>
          <w:szCs w:val="22"/>
        </w:rPr>
        <w:t xml:space="preserve">the unauthorized practice of law? </w:t>
      </w:r>
    </w:p>
    <w:p w14:paraId="5EA023D6" w14:textId="77777777" w:rsidR="000E52A3" w:rsidRPr="00B47955" w:rsidRDefault="000E52A3" w:rsidP="000E52A3">
      <w:pPr>
        <w:rPr>
          <w:rFonts w:ascii="Arial" w:hAnsi="Arial" w:cs="Arial"/>
          <w:b/>
          <w:bCs/>
          <w:sz w:val="22"/>
          <w:szCs w:val="22"/>
        </w:rPr>
      </w:pPr>
    </w:p>
    <w:p w14:paraId="34E84FE5" w14:textId="336AEFE5" w:rsidR="008E5913" w:rsidRPr="00B47955" w:rsidRDefault="00B77071" w:rsidP="006F7233">
      <w:pPr>
        <w:tabs>
          <w:tab w:val="left" w:pos="360"/>
        </w:tabs>
        <w:spacing w:afterLines="160" w:after="384"/>
        <w:ind w:left="720" w:hanging="360"/>
        <w:contextualSpacing/>
        <w:jc w:val="both"/>
        <w:rPr>
          <w:rFonts w:ascii="Arial" w:hAnsi="Arial" w:cs="Arial"/>
          <w:sz w:val="22"/>
          <w:szCs w:val="22"/>
        </w:rPr>
      </w:pPr>
      <w:r w:rsidRPr="00B47955">
        <w:rPr>
          <w:rFonts w:ascii="Arial" w:hAnsi="Arial" w:cs="Arial"/>
          <w:b/>
          <w:bCs/>
          <w:sz w:val="22"/>
          <w:szCs w:val="22"/>
        </w:rPr>
        <w:tab/>
      </w:r>
      <w:r w:rsidR="000E52A3" w:rsidRPr="00B47955">
        <w:rPr>
          <w:rFonts w:ascii="Arial" w:hAnsi="Arial" w:cs="Arial"/>
          <w:b/>
          <w:bCs/>
          <w:sz w:val="22"/>
          <w:szCs w:val="22"/>
        </w:rPr>
        <w:t xml:space="preserve">A2. </w:t>
      </w:r>
      <w:r w:rsidR="00C8702C" w:rsidRPr="00B47955">
        <w:rPr>
          <w:rFonts w:ascii="Arial" w:hAnsi="Arial" w:cs="Arial"/>
          <w:sz w:val="22"/>
          <w:szCs w:val="22"/>
        </w:rPr>
        <w:t xml:space="preserve">As noted in </w:t>
      </w:r>
      <w:r w:rsidR="000112B5">
        <w:rPr>
          <w:rFonts w:ascii="Arial" w:hAnsi="Arial" w:cs="Arial"/>
          <w:b/>
          <w:bCs/>
          <w:sz w:val="22"/>
          <w:szCs w:val="22"/>
        </w:rPr>
        <w:t>Question</w:t>
      </w:r>
      <w:r w:rsidR="000112B5" w:rsidRPr="00B47955">
        <w:rPr>
          <w:rFonts w:ascii="Arial" w:hAnsi="Arial" w:cs="Arial"/>
          <w:b/>
          <w:bCs/>
          <w:sz w:val="22"/>
          <w:szCs w:val="22"/>
        </w:rPr>
        <w:t xml:space="preserve"> </w:t>
      </w:r>
      <w:r w:rsidR="00C8702C" w:rsidRPr="00B47955">
        <w:rPr>
          <w:rFonts w:ascii="Arial" w:hAnsi="Arial" w:cs="Arial"/>
          <w:b/>
          <w:bCs/>
          <w:sz w:val="22"/>
          <w:szCs w:val="22"/>
        </w:rPr>
        <w:t xml:space="preserve">1 </w:t>
      </w:r>
      <w:r w:rsidR="00C8702C" w:rsidRPr="00B47955">
        <w:rPr>
          <w:rFonts w:ascii="Arial" w:hAnsi="Arial" w:cs="Arial"/>
          <w:sz w:val="22"/>
          <w:szCs w:val="22"/>
        </w:rPr>
        <w:t>above,</w:t>
      </w:r>
      <w:r w:rsidR="00C8702C" w:rsidRPr="00B47955">
        <w:rPr>
          <w:rFonts w:ascii="Arial" w:hAnsi="Arial" w:cs="Arial"/>
          <w:b/>
          <w:bCs/>
          <w:sz w:val="22"/>
          <w:szCs w:val="22"/>
        </w:rPr>
        <w:t xml:space="preserve"> </w:t>
      </w:r>
      <w:r w:rsidR="00813361" w:rsidRPr="00B47955">
        <w:rPr>
          <w:rFonts w:ascii="Arial" w:hAnsi="Arial" w:cs="Arial"/>
          <w:sz w:val="22"/>
          <w:szCs w:val="22"/>
        </w:rPr>
        <w:t xml:space="preserve">CAMICO intends that coverage will respond to the typical claim we anticipate receiving. </w:t>
      </w:r>
      <w:r w:rsidR="00742F30" w:rsidRPr="00B47955">
        <w:rPr>
          <w:rFonts w:ascii="Arial" w:hAnsi="Arial" w:cs="Arial"/>
          <w:sz w:val="22"/>
          <w:szCs w:val="22"/>
        </w:rPr>
        <w:t>E</w:t>
      </w:r>
      <w:r w:rsidR="008E5913" w:rsidRPr="00B47955">
        <w:rPr>
          <w:rFonts w:ascii="Arial" w:hAnsi="Arial" w:cs="Arial"/>
          <w:sz w:val="22"/>
          <w:szCs w:val="22"/>
        </w:rPr>
        <w:t>very claim is fact-</w:t>
      </w:r>
      <w:r w:rsidR="00742F30" w:rsidRPr="00B47955">
        <w:rPr>
          <w:rFonts w:ascii="Arial" w:hAnsi="Arial" w:cs="Arial"/>
          <w:sz w:val="22"/>
          <w:szCs w:val="22"/>
        </w:rPr>
        <w:t xml:space="preserve">specific, and the pertinent facts </w:t>
      </w:r>
      <w:r w:rsidR="00742F30" w:rsidRPr="00B47955">
        <w:rPr>
          <w:rFonts w:ascii="Arial" w:hAnsi="Arial" w:cs="Arial"/>
          <w:sz w:val="22"/>
          <w:szCs w:val="22"/>
        </w:rPr>
        <w:lastRenderedPageBreak/>
        <w:t>of any claim scenario must be analyzed. As such, each claim</w:t>
      </w:r>
      <w:r w:rsidR="00C8702C" w:rsidRPr="00B47955">
        <w:rPr>
          <w:rFonts w:ascii="Arial" w:hAnsi="Arial" w:cs="Arial"/>
          <w:sz w:val="22"/>
          <w:szCs w:val="22"/>
        </w:rPr>
        <w:t xml:space="preserve"> would be</w:t>
      </w:r>
      <w:r w:rsidR="008E5913" w:rsidRPr="00B47955">
        <w:rPr>
          <w:rFonts w:ascii="Arial" w:hAnsi="Arial" w:cs="Arial"/>
          <w:sz w:val="22"/>
          <w:szCs w:val="22"/>
        </w:rPr>
        <w:t xml:space="preserve"> subject to the policy’s terms and conditions</w:t>
      </w:r>
      <w:r w:rsidR="00C8702C" w:rsidRPr="00B47955">
        <w:rPr>
          <w:rFonts w:ascii="Arial" w:hAnsi="Arial" w:cs="Arial"/>
          <w:sz w:val="22"/>
          <w:szCs w:val="22"/>
        </w:rPr>
        <w:t xml:space="preserve">, as well as the </w:t>
      </w:r>
      <w:r w:rsidR="00C8702C" w:rsidRPr="00B47955">
        <w:rPr>
          <w:rFonts w:ascii="Arial" w:hAnsi="Arial" w:cs="Arial"/>
          <w:b/>
          <w:bCs/>
          <w:sz w:val="22"/>
          <w:szCs w:val="22"/>
        </w:rPr>
        <w:t>legal and</w:t>
      </w:r>
      <w:r w:rsidR="00742F30" w:rsidRPr="00B47955">
        <w:rPr>
          <w:rFonts w:ascii="Arial" w:hAnsi="Arial" w:cs="Arial"/>
          <w:b/>
          <w:bCs/>
          <w:sz w:val="22"/>
          <w:szCs w:val="22"/>
        </w:rPr>
        <w:t>/or</w:t>
      </w:r>
      <w:r w:rsidR="00C8702C" w:rsidRPr="00B47955">
        <w:rPr>
          <w:rFonts w:ascii="Arial" w:hAnsi="Arial" w:cs="Arial"/>
          <w:b/>
          <w:bCs/>
          <w:sz w:val="22"/>
          <w:szCs w:val="22"/>
        </w:rPr>
        <w:t xml:space="preserve"> professional standards of care at the time the services were rendered</w:t>
      </w:r>
      <w:r w:rsidR="00C8702C" w:rsidRPr="00B47955">
        <w:rPr>
          <w:rFonts w:ascii="Arial" w:hAnsi="Arial" w:cs="Arial"/>
          <w:sz w:val="22"/>
          <w:szCs w:val="22"/>
        </w:rPr>
        <w:t>.</w:t>
      </w:r>
      <w:r w:rsidR="008E5913" w:rsidRPr="00B47955">
        <w:rPr>
          <w:rFonts w:ascii="Arial" w:hAnsi="Arial" w:cs="Arial"/>
          <w:sz w:val="22"/>
          <w:szCs w:val="22"/>
        </w:rPr>
        <w:t xml:space="preserve"> </w:t>
      </w:r>
      <w:r w:rsidR="006F7233" w:rsidRPr="00B47955">
        <w:rPr>
          <w:rFonts w:ascii="Arial" w:hAnsi="Arial" w:cs="Arial"/>
          <w:sz w:val="22"/>
          <w:szCs w:val="22"/>
        </w:rPr>
        <w:t>Therefore,</w:t>
      </w:r>
      <w:r w:rsidR="00742F30" w:rsidRPr="00B47955">
        <w:rPr>
          <w:rFonts w:ascii="Arial" w:hAnsi="Arial" w:cs="Arial"/>
          <w:sz w:val="22"/>
          <w:szCs w:val="22"/>
        </w:rPr>
        <w:t xml:space="preserve"> </w:t>
      </w:r>
      <w:r w:rsidR="00742F30" w:rsidRPr="00B47955">
        <w:rPr>
          <w:rFonts w:ascii="Arial" w:hAnsi="Arial" w:cs="Arial"/>
          <w:b/>
          <w:bCs/>
          <w:sz w:val="22"/>
          <w:szCs w:val="22"/>
        </w:rPr>
        <w:t>future changes</w:t>
      </w:r>
      <w:r w:rsidR="00742F30" w:rsidRPr="00B47955">
        <w:rPr>
          <w:rFonts w:ascii="Arial" w:hAnsi="Arial" w:cs="Arial"/>
          <w:sz w:val="22"/>
          <w:szCs w:val="22"/>
        </w:rPr>
        <w:t xml:space="preserve"> in the legal and/or professional standards of care </w:t>
      </w:r>
      <w:r w:rsidR="006F7233" w:rsidRPr="00B47955">
        <w:rPr>
          <w:rFonts w:ascii="Arial" w:hAnsi="Arial" w:cs="Arial"/>
          <w:sz w:val="22"/>
          <w:szCs w:val="22"/>
        </w:rPr>
        <w:t>for such</w:t>
      </w:r>
      <w:r w:rsidR="00742F30" w:rsidRPr="00B47955">
        <w:rPr>
          <w:rFonts w:ascii="Arial" w:hAnsi="Arial" w:cs="Arial"/>
          <w:sz w:val="22"/>
          <w:szCs w:val="22"/>
        </w:rPr>
        <w:t xml:space="preserve"> services </w:t>
      </w:r>
      <w:r w:rsidR="006F7233" w:rsidRPr="00B47955">
        <w:rPr>
          <w:rFonts w:ascii="Arial" w:hAnsi="Arial" w:cs="Arial"/>
          <w:sz w:val="22"/>
          <w:szCs w:val="22"/>
        </w:rPr>
        <w:t xml:space="preserve">would not be </w:t>
      </w:r>
      <w:r w:rsidR="003E0E73" w:rsidRPr="00B47955">
        <w:rPr>
          <w:rFonts w:ascii="Arial" w:hAnsi="Arial" w:cs="Arial"/>
          <w:sz w:val="22"/>
          <w:szCs w:val="22"/>
        </w:rPr>
        <w:t>a pertinent consideration in determining coverage</w:t>
      </w:r>
      <w:r w:rsidR="006F7233" w:rsidRPr="00B47955">
        <w:rPr>
          <w:rFonts w:ascii="Arial" w:hAnsi="Arial" w:cs="Arial"/>
          <w:sz w:val="22"/>
          <w:szCs w:val="22"/>
        </w:rPr>
        <w:t xml:space="preserve">. </w:t>
      </w:r>
    </w:p>
    <w:p w14:paraId="479C77AD" w14:textId="4F4DDEA1" w:rsidR="00DA6A8B" w:rsidRPr="00B47955" w:rsidRDefault="00DA6A8B" w:rsidP="000E52A3">
      <w:pPr>
        <w:ind w:left="720"/>
        <w:rPr>
          <w:rFonts w:ascii="Arial" w:hAnsi="Arial" w:cs="Arial"/>
          <w:sz w:val="22"/>
          <w:szCs w:val="22"/>
        </w:rPr>
      </w:pPr>
    </w:p>
    <w:p w14:paraId="2F910B72" w14:textId="77777777" w:rsidR="00DA6A8B" w:rsidRPr="00B47955" w:rsidRDefault="00DA6A8B" w:rsidP="00DA6A8B">
      <w:pPr>
        <w:rPr>
          <w:rFonts w:ascii="Arial" w:hAnsi="Arial" w:cs="Arial"/>
          <w:sz w:val="22"/>
          <w:szCs w:val="22"/>
        </w:rPr>
      </w:pPr>
    </w:p>
    <w:p w14:paraId="5E347CFF" w14:textId="7E4BAA32" w:rsidR="00B77071" w:rsidRPr="00B47955" w:rsidRDefault="00B77071" w:rsidP="00B77071">
      <w:pPr>
        <w:rPr>
          <w:rFonts w:ascii="Arial" w:hAnsi="Arial" w:cs="Arial"/>
          <w:b/>
          <w:bCs/>
          <w:sz w:val="22"/>
          <w:szCs w:val="22"/>
        </w:rPr>
      </w:pPr>
      <w:r w:rsidRPr="00B47955">
        <w:rPr>
          <w:rFonts w:ascii="Arial" w:hAnsi="Arial" w:cs="Arial"/>
          <w:b/>
          <w:bCs/>
          <w:sz w:val="22"/>
          <w:szCs w:val="22"/>
        </w:rPr>
        <w:t>Q3. How does the CAMICO policy respond if there are allegations made against our firm for fraudulent, criminal and/or illegal activity</w:t>
      </w:r>
      <w:r w:rsidR="009A4345" w:rsidRPr="00B47955">
        <w:rPr>
          <w:rFonts w:ascii="Arial" w:hAnsi="Arial" w:cs="Arial"/>
          <w:b/>
          <w:bCs/>
          <w:sz w:val="22"/>
          <w:szCs w:val="22"/>
        </w:rPr>
        <w:t xml:space="preserve"> related to CTA services</w:t>
      </w:r>
      <w:r w:rsidRPr="00B47955">
        <w:rPr>
          <w:rFonts w:ascii="Arial" w:hAnsi="Arial" w:cs="Arial"/>
          <w:b/>
          <w:bCs/>
          <w:sz w:val="22"/>
          <w:szCs w:val="22"/>
        </w:rPr>
        <w:t>?</w:t>
      </w:r>
    </w:p>
    <w:p w14:paraId="1EAC3667" w14:textId="77777777" w:rsidR="00B77071" w:rsidRPr="00B47955" w:rsidRDefault="00B77071" w:rsidP="00B77071">
      <w:pPr>
        <w:rPr>
          <w:rFonts w:ascii="Arial" w:hAnsi="Arial" w:cs="Arial"/>
          <w:b/>
          <w:bCs/>
          <w:sz w:val="22"/>
          <w:szCs w:val="22"/>
        </w:rPr>
      </w:pPr>
    </w:p>
    <w:p w14:paraId="0B7B8025" w14:textId="3CE3FFE1" w:rsidR="00B77071" w:rsidRPr="00B47955" w:rsidRDefault="00B77071" w:rsidP="00A83249">
      <w:pPr>
        <w:ind w:left="720"/>
        <w:jc w:val="both"/>
        <w:rPr>
          <w:rFonts w:ascii="Arial" w:hAnsi="Arial" w:cs="Arial"/>
          <w:sz w:val="22"/>
          <w:szCs w:val="22"/>
          <w:shd w:val="clear" w:color="auto" w:fill="FFFFFF"/>
        </w:rPr>
      </w:pPr>
      <w:r w:rsidRPr="00B47955">
        <w:rPr>
          <w:rFonts w:ascii="Arial" w:hAnsi="Arial" w:cs="Arial"/>
          <w:b/>
          <w:bCs/>
          <w:sz w:val="22"/>
          <w:szCs w:val="22"/>
        </w:rPr>
        <w:t>A</w:t>
      </w:r>
      <w:r w:rsidR="009A4345" w:rsidRPr="00B47955">
        <w:rPr>
          <w:rFonts w:ascii="Arial" w:hAnsi="Arial" w:cs="Arial"/>
          <w:b/>
          <w:bCs/>
          <w:sz w:val="22"/>
          <w:szCs w:val="22"/>
        </w:rPr>
        <w:t>3</w:t>
      </w:r>
      <w:r w:rsidRPr="00B47955">
        <w:rPr>
          <w:rFonts w:ascii="Arial" w:hAnsi="Arial" w:cs="Arial"/>
          <w:b/>
          <w:bCs/>
          <w:sz w:val="22"/>
          <w:szCs w:val="22"/>
        </w:rPr>
        <w:t>.</w:t>
      </w:r>
      <w:r w:rsidR="009A4345" w:rsidRPr="00B47955">
        <w:rPr>
          <w:rFonts w:ascii="Arial" w:hAnsi="Arial" w:cs="Arial"/>
          <w:b/>
          <w:bCs/>
          <w:sz w:val="22"/>
          <w:szCs w:val="22"/>
        </w:rPr>
        <w:t xml:space="preserve"> </w:t>
      </w:r>
      <w:r w:rsidR="009A4345" w:rsidRPr="00B47955">
        <w:rPr>
          <w:rFonts w:ascii="Arial" w:hAnsi="Arial" w:cs="Arial"/>
          <w:sz w:val="22"/>
          <w:szCs w:val="22"/>
        </w:rPr>
        <w:t>How the CAMICO policy responds is not unique just to CTA</w:t>
      </w:r>
      <w:r w:rsidR="000112B5">
        <w:rPr>
          <w:rFonts w:ascii="Arial" w:hAnsi="Arial" w:cs="Arial"/>
          <w:sz w:val="22"/>
          <w:szCs w:val="22"/>
        </w:rPr>
        <w:t>-</w:t>
      </w:r>
      <w:r w:rsidR="009A4345" w:rsidRPr="00B47955">
        <w:rPr>
          <w:rFonts w:ascii="Arial" w:hAnsi="Arial" w:cs="Arial"/>
          <w:sz w:val="22"/>
          <w:szCs w:val="22"/>
        </w:rPr>
        <w:t>related services.</w:t>
      </w:r>
      <w:r w:rsidR="009A4345" w:rsidRPr="00B47955">
        <w:rPr>
          <w:rFonts w:ascii="Arial" w:hAnsi="Arial" w:cs="Arial"/>
          <w:b/>
          <w:bCs/>
          <w:sz w:val="22"/>
          <w:szCs w:val="22"/>
        </w:rPr>
        <w:t xml:space="preserve"> </w:t>
      </w:r>
      <w:r w:rsidR="009A4345" w:rsidRPr="00B47955">
        <w:rPr>
          <w:rFonts w:ascii="Arial" w:hAnsi="Arial" w:cs="Arial"/>
          <w:sz w:val="22"/>
          <w:szCs w:val="22"/>
        </w:rPr>
        <w:t>I</w:t>
      </w:r>
      <w:r w:rsidRPr="00B47955">
        <w:rPr>
          <w:rFonts w:ascii="Arial" w:hAnsi="Arial" w:cs="Arial"/>
          <w:sz w:val="22"/>
          <w:szCs w:val="22"/>
          <w:shd w:val="clear" w:color="auto" w:fill="FFFFFF"/>
        </w:rPr>
        <w:t xml:space="preserve">nsurance companies are under strict regulatory guidelines </w:t>
      </w:r>
      <w:r w:rsidR="00AB1D97">
        <w:rPr>
          <w:rFonts w:ascii="Arial" w:hAnsi="Arial" w:cs="Arial"/>
          <w:sz w:val="22"/>
          <w:szCs w:val="22"/>
          <w:shd w:val="clear" w:color="auto" w:fill="FFFFFF"/>
        </w:rPr>
        <w:t>that</w:t>
      </w:r>
      <w:r w:rsidR="00AB1D97" w:rsidRPr="00B47955">
        <w:rPr>
          <w:rFonts w:ascii="Arial" w:hAnsi="Arial" w:cs="Arial"/>
          <w:sz w:val="22"/>
          <w:szCs w:val="22"/>
          <w:shd w:val="clear" w:color="auto" w:fill="FFFFFF"/>
        </w:rPr>
        <w:t xml:space="preserve"> </w:t>
      </w:r>
      <w:r w:rsidRPr="00B47955">
        <w:rPr>
          <w:rFonts w:ascii="Arial" w:hAnsi="Arial" w:cs="Arial"/>
          <w:sz w:val="22"/>
          <w:szCs w:val="22"/>
          <w:shd w:val="clear" w:color="auto" w:fill="FFFFFF"/>
        </w:rPr>
        <w:t xml:space="preserve">typically preclude carriers </w:t>
      </w:r>
      <w:r w:rsidR="009A4345" w:rsidRPr="00B47955">
        <w:rPr>
          <w:rFonts w:ascii="Arial" w:hAnsi="Arial" w:cs="Arial"/>
          <w:sz w:val="22"/>
          <w:szCs w:val="22"/>
          <w:shd w:val="clear" w:color="auto" w:fill="FFFFFF"/>
        </w:rPr>
        <w:t xml:space="preserve">like CAMICO and others </w:t>
      </w:r>
      <w:r w:rsidRPr="00B47955">
        <w:rPr>
          <w:rFonts w:ascii="Arial" w:hAnsi="Arial" w:cs="Arial"/>
          <w:sz w:val="22"/>
          <w:szCs w:val="22"/>
          <w:shd w:val="clear" w:color="auto" w:fill="FFFFFF"/>
        </w:rPr>
        <w:t>from insuring parties for</w:t>
      </w:r>
      <w:r w:rsidR="00A82359">
        <w:rPr>
          <w:rFonts w:ascii="Arial" w:hAnsi="Arial" w:cs="Arial"/>
          <w:sz w:val="22"/>
          <w:szCs w:val="22"/>
          <w:shd w:val="clear" w:color="auto" w:fill="FFFFFF"/>
        </w:rPr>
        <w:t xml:space="preserve"> </w:t>
      </w:r>
      <w:r w:rsidRPr="00B47955">
        <w:rPr>
          <w:rFonts w:ascii="Arial" w:hAnsi="Arial" w:cs="Arial"/>
          <w:sz w:val="22"/>
          <w:szCs w:val="22"/>
          <w:shd w:val="clear" w:color="auto" w:fill="FFFFFF"/>
        </w:rPr>
        <w:t>criminal acts</w:t>
      </w:r>
      <w:r w:rsidR="00F65A4F" w:rsidRPr="00B47955">
        <w:rPr>
          <w:rFonts w:ascii="Arial" w:hAnsi="Arial" w:cs="Arial"/>
          <w:sz w:val="22"/>
          <w:szCs w:val="22"/>
          <w:shd w:val="clear" w:color="auto" w:fill="FFFFFF"/>
        </w:rPr>
        <w:t xml:space="preserve"> and fraud</w:t>
      </w:r>
      <w:r w:rsidRPr="00B47955">
        <w:rPr>
          <w:rFonts w:ascii="Arial" w:hAnsi="Arial" w:cs="Arial"/>
          <w:sz w:val="22"/>
          <w:szCs w:val="22"/>
          <w:shd w:val="clear" w:color="auto" w:fill="FFFFFF"/>
        </w:rPr>
        <w:t>. As such, professional liability policies, including those for accountants, have exclusion</w:t>
      </w:r>
      <w:r w:rsidR="00F65A4F" w:rsidRPr="00B47955">
        <w:rPr>
          <w:rFonts w:ascii="Arial" w:hAnsi="Arial" w:cs="Arial"/>
          <w:sz w:val="22"/>
          <w:szCs w:val="22"/>
          <w:shd w:val="clear" w:color="auto" w:fill="FFFFFF"/>
        </w:rPr>
        <w:t>s</w:t>
      </w:r>
      <w:r w:rsidRPr="00B47955">
        <w:rPr>
          <w:rFonts w:ascii="Arial" w:hAnsi="Arial" w:cs="Arial"/>
          <w:sz w:val="22"/>
          <w:szCs w:val="22"/>
          <w:shd w:val="clear" w:color="auto" w:fill="FFFFFF"/>
        </w:rPr>
        <w:t xml:space="preserve"> for any claim based on, or arising from or related to, criminal act</w:t>
      </w:r>
      <w:r w:rsidR="00C85CFE" w:rsidRPr="00B47955">
        <w:rPr>
          <w:rFonts w:ascii="Arial" w:hAnsi="Arial" w:cs="Arial"/>
          <w:sz w:val="22"/>
          <w:szCs w:val="22"/>
          <w:shd w:val="clear" w:color="auto" w:fill="FFFFFF"/>
        </w:rPr>
        <w:t>s</w:t>
      </w:r>
      <w:r w:rsidR="00F65A4F" w:rsidRPr="00B47955">
        <w:rPr>
          <w:rFonts w:ascii="Arial" w:hAnsi="Arial" w:cs="Arial"/>
          <w:sz w:val="22"/>
          <w:szCs w:val="22"/>
          <w:shd w:val="clear" w:color="auto" w:fill="FFFFFF"/>
        </w:rPr>
        <w:t xml:space="preserve"> or other acts deemed to be fraudulent in </w:t>
      </w:r>
      <w:r w:rsidR="00B555C1" w:rsidRPr="00B47955">
        <w:rPr>
          <w:rFonts w:ascii="Arial" w:hAnsi="Arial" w:cs="Arial"/>
          <w:sz w:val="22"/>
          <w:szCs w:val="22"/>
          <w:shd w:val="clear" w:color="auto" w:fill="FFFFFF"/>
        </w:rPr>
        <w:t>nature.</w:t>
      </w:r>
    </w:p>
    <w:p w14:paraId="045463CA" w14:textId="77777777" w:rsidR="00B555C1" w:rsidRPr="00B47955" w:rsidRDefault="00B555C1" w:rsidP="00A83249">
      <w:pPr>
        <w:ind w:left="720"/>
        <w:jc w:val="both"/>
        <w:rPr>
          <w:rFonts w:ascii="Arial" w:eastAsia="Times New Roman" w:hAnsi="Arial" w:cs="Arial"/>
          <w:color w:val="1E1E1E"/>
          <w:sz w:val="22"/>
          <w:szCs w:val="22"/>
        </w:rPr>
      </w:pPr>
    </w:p>
    <w:p w14:paraId="5E8FD398" w14:textId="183D9445" w:rsidR="00B555C1" w:rsidRPr="00B47955" w:rsidRDefault="00F83839" w:rsidP="00A83249">
      <w:pPr>
        <w:ind w:left="720"/>
        <w:jc w:val="both"/>
        <w:rPr>
          <w:rFonts w:ascii="Arial" w:eastAsia="Times New Roman" w:hAnsi="Arial" w:cs="Arial"/>
          <w:color w:val="1E1E1E"/>
          <w:sz w:val="22"/>
          <w:szCs w:val="22"/>
        </w:rPr>
      </w:pPr>
      <w:r w:rsidRPr="00B47955">
        <w:rPr>
          <w:rFonts w:ascii="Arial" w:eastAsia="Times New Roman" w:hAnsi="Arial" w:cs="Arial"/>
          <w:color w:val="1E1E1E"/>
          <w:sz w:val="22"/>
          <w:szCs w:val="22"/>
        </w:rPr>
        <w:t>Regarding defense costs, CAMICO insureds are entitled to legal defense when there is a potential for indemnity coverage, subject to policy terms and conditions. When covered negligent acts are alleged to have occurred during the performance of professional services, CAMICO will provide for your defense, although CAMICO cannot pay damages on your behalf if you admit to or are found guilty of engaging in criminal or fraudulent acts.</w:t>
      </w:r>
    </w:p>
    <w:p w14:paraId="4585DF84" w14:textId="77777777" w:rsidR="00F83839" w:rsidRPr="00B47955" w:rsidRDefault="00F83839" w:rsidP="00A83249">
      <w:pPr>
        <w:ind w:left="720"/>
        <w:jc w:val="both"/>
        <w:rPr>
          <w:rFonts w:ascii="Arial" w:eastAsia="Times New Roman" w:hAnsi="Arial" w:cs="Arial"/>
          <w:color w:val="1E1E1E"/>
          <w:sz w:val="22"/>
          <w:szCs w:val="22"/>
        </w:rPr>
      </w:pPr>
    </w:p>
    <w:p w14:paraId="5F001F09" w14:textId="7E71CFE5" w:rsidR="00F83839" w:rsidRPr="00B47955" w:rsidRDefault="00EA3F6D" w:rsidP="00A83249">
      <w:pPr>
        <w:ind w:left="720"/>
        <w:jc w:val="both"/>
        <w:rPr>
          <w:rFonts w:ascii="Arial" w:eastAsia="Times New Roman" w:hAnsi="Arial" w:cs="Arial"/>
          <w:color w:val="1E1E1E"/>
          <w:sz w:val="22"/>
          <w:szCs w:val="22"/>
        </w:rPr>
      </w:pPr>
      <w:r w:rsidRPr="00B47955">
        <w:rPr>
          <w:rFonts w:ascii="Arial" w:eastAsia="Times New Roman" w:hAnsi="Arial" w:cs="Arial"/>
          <w:color w:val="1E1E1E"/>
          <w:sz w:val="22"/>
          <w:szCs w:val="22"/>
        </w:rPr>
        <w:t>If the only allegations against you are uncovered acts, CAMICO will not be able to defend or indemnify you. However, civil complaints that solely allege fraud or criminal activity are uncommon in our decades of defending CPA firms.</w:t>
      </w:r>
    </w:p>
    <w:p w14:paraId="56BE5794" w14:textId="77777777" w:rsidR="00B77071" w:rsidRPr="00B47955" w:rsidRDefault="00B77071" w:rsidP="00B77071">
      <w:pPr>
        <w:rPr>
          <w:rFonts w:ascii="Arial" w:eastAsia="Times New Roman" w:hAnsi="Arial" w:cs="Arial"/>
          <w:color w:val="1E1E1E"/>
          <w:sz w:val="22"/>
          <w:szCs w:val="22"/>
        </w:rPr>
      </w:pPr>
    </w:p>
    <w:p w14:paraId="3507E0CF" w14:textId="77777777" w:rsidR="00B77071" w:rsidRPr="00B47955" w:rsidRDefault="00B77071" w:rsidP="00B77071">
      <w:pPr>
        <w:rPr>
          <w:rFonts w:ascii="Arial" w:eastAsia="Times New Roman" w:hAnsi="Arial" w:cs="Arial"/>
          <w:color w:val="1E1E1E"/>
          <w:sz w:val="22"/>
          <w:szCs w:val="22"/>
        </w:rPr>
      </w:pPr>
    </w:p>
    <w:p w14:paraId="6A70F3CC" w14:textId="5F32A59A" w:rsidR="00DA6A8B" w:rsidRPr="00B47955" w:rsidRDefault="00DA6A8B" w:rsidP="00B77071">
      <w:pPr>
        <w:rPr>
          <w:rFonts w:ascii="Arial" w:hAnsi="Arial" w:cs="Arial"/>
          <w:b/>
          <w:bCs/>
          <w:sz w:val="22"/>
          <w:szCs w:val="22"/>
        </w:rPr>
      </w:pPr>
      <w:r w:rsidRPr="00B47955">
        <w:rPr>
          <w:rFonts w:ascii="Arial" w:hAnsi="Arial" w:cs="Arial"/>
          <w:b/>
          <w:bCs/>
          <w:sz w:val="22"/>
          <w:szCs w:val="22"/>
        </w:rPr>
        <w:t>Q</w:t>
      </w:r>
      <w:r w:rsidR="006F7233" w:rsidRPr="00B47955">
        <w:rPr>
          <w:rFonts w:ascii="Arial" w:hAnsi="Arial" w:cs="Arial"/>
          <w:b/>
          <w:bCs/>
          <w:sz w:val="22"/>
          <w:szCs w:val="22"/>
        </w:rPr>
        <w:t>4</w:t>
      </w:r>
      <w:r w:rsidRPr="00B47955">
        <w:rPr>
          <w:rFonts w:ascii="Arial" w:hAnsi="Arial" w:cs="Arial"/>
          <w:b/>
          <w:bCs/>
          <w:sz w:val="22"/>
          <w:szCs w:val="22"/>
        </w:rPr>
        <w:t xml:space="preserve">. </w:t>
      </w:r>
      <w:r w:rsidR="00742F30" w:rsidRPr="00B47955">
        <w:rPr>
          <w:rFonts w:ascii="Arial" w:hAnsi="Arial" w:cs="Arial"/>
          <w:b/>
          <w:bCs/>
          <w:sz w:val="22"/>
          <w:szCs w:val="22"/>
        </w:rPr>
        <w:t xml:space="preserve">Does CAMICO have </w:t>
      </w:r>
      <w:r w:rsidR="006F7233" w:rsidRPr="00B47955">
        <w:rPr>
          <w:rFonts w:ascii="Arial" w:hAnsi="Arial" w:cs="Arial"/>
          <w:b/>
          <w:bCs/>
          <w:sz w:val="22"/>
          <w:szCs w:val="22"/>
        </w:rPr>
        <w:t xml:space="preserve">additional </w:t>
      </w:r>
      <w:r w:rsidR="00742F30" w:rsidRPr="00B47955">
        <w:rPr>
          <w:rFonts w:ascii="Arial" w:hAnsi="Arial" w:cs="Arial"/>
          <w:b/>
          <w:bCs/>
          <w:sz w:val="22"/>
          <w:szCs w:val="22"/>
        </w:rPr>
        <w:t>risk management guidance on the CTA</w:t>
      </w:r>
      <w:r w:rsidRPr="00B47955">
        <w:rPr>
          <w:rFonts w:ascii="Arial" w:hAnsi="Arial" w:cs="Arial"/>
          <w:b/>
          <w:bCs/>
          <w:sz w:val="22"/>
          <w:szCs w:val="22"/>
        </w:rPr>
        <w:t>?</w:t>
      </w:r>
    </w:p>
    <w:p w14:paraId="0A45BBB8" w14:textId="77777777" w:rsidR="00DA6A8B" w:rsidRPr="00B47955" w:rsidRDefault="00DA6A8B" w:rsidP="00DA6A8B">
      <w:pPr>
        <w:rPr>
          <w:rFonts w:ascii="Arial" w:hAnsi="Arial" w:cs="Arial"/>
          <w:b/>
          <w:bCs/>
          <w:sz w:val="22"/>
          <w:szCs w:val="22"/>
        </w:rPr>
      </w:pPr>
    </w:p>
    <w:p w14:paraId="5FE8F426" w14:textId="3977337E" w:rsidR="00D94466" w:rsidRPr="00D94466" w:rsidRDefault="00DA6A8B" w:rsidP="00D94466">
      <w:pPr>
        <w:shd w:val="clear" w:color="auto" w:fill="FFFFFF"/>
        <w:ind w:left="720"/>
        <w:jc w:val="both"/>
        <w:rPr>
          <w:rFonts w:ascii="Arial" w:hAnsi="Arial" w:cs="Arial"/>
          <w:color w:val="1E1E1E"/>
          <w:sz w:val="22"/>
          <w:szCs w:val="22"/>
        </w:rPr>
      </w:pPr>
      <w:bookmarkStart w:id="0" w:name="_Hlk158281717"/>
      <w:r w:rsidRPr="00B47955">
        <w:rPr>
          <w:rFonts w:ascii="Arial" w:hAnsi="Arial" w:cs="Arial"/>
          <w:b/>
          <w:bCs/>
          <w:sz w:val="22"/>
          <w:szCs w:val="22"/>
        </w:rPr>
        <w:t>A</w:t>
      </w:r>
      <w:r w:rsidR="006F7233" w:rsidRPr="00B47955">
        <w:rPr>
          <w:rFonts w:ascii="Arial" w:hAnsi="Arial" w:cs="Arial"/>
          <w:b/>
          <w:bCs/>
          <w:sz w:val="22"/>
          <w:szCs w:val="22"/>
        </w:rPr>
        <w:t>4</w:t>
      </w:r>
      <w:r w:rsidRPr="00B47955">
        <w:rPr>
          <w:rFonts w:ascii="Arial" w:hAnsi="Arial" w:cs="Arial"/>
          <w:b/>
          <w:bCs/>
          <w:sz w:val="22"/>
          <w:szCs w:val="22"/>
        </w:rPr>
        <w:t xml:space="preserve">. </w:t>
      </w:r>
      <w:r w:rsidR="006F7233" w:rsidRPr="00B47955">
        <w:rPr>
          <w:rFonts w:ascii="Arial" w:hAnsi="Arial" w:cs="Arial"/>
          <w:color w:val="292933"/>
          <w:sz w:val="22"/>
          <w:szCs w:val="22"/>
          <w:shd w:val="clear" w:color="auto" w:fill="FFFFFF"/>
        </w:rPr>
        <w:t xml:space="preserve">Yes. </w:t>
      </w:r>
      <w:r w:rsidR="006F7233" w:rsidRPr="00B47955">
        <w:rPr>
          <w:rFonts w:ascii="Arial" w:eastAsia="Times New Roman" w:hAnsi="Arial" w:cs="Arial"/>
          <w:color w:val="1E1E1E"/>
          <w:sz w:val="22"/>
          <w:szCs w:val="22"/>
        </w:rPr>
        <w:t xml:space="preserve">CAMICO </w:t>
      </w:r>
      <w:r w:rsidR="00E65EF4">
        <w:rPr>
          <w:rFonts w:ascii="Arial" w:eastAsia="Times New Roman" w:hAnsi="Arial" w:cs="Arial"/>
          <w:color w:val="1E1E1E"/>
          <w:sz w:val="22"/>
          <w:szCs w:val="22"/>
        </w:rPr>
        <w:t xml:space="preserve">has risk management guidance available on this topic, including </w:t>
      </w:r>
      <w:r w:rsidR="006F7233" w:rsidRPr="007E5FB6">
        <w:rPr>
          <w:rFonts w:ascii="Arial" w:eastAsia="Times New Roman" w:hAnsi="Arial" w:cs="Arial"/>
          <w:color w:val="1E1E1E"/>
          <w:sz w:val="22"/>
          <w:szCs w:val="22"/>
        </w:rPr>
        <w:t xml:space="preserve">a </w:t>
      </w:r>
      <w:r w:rsidR="006F7233" w:rsidRPr="007E5FB6">
        <w:rPr>
          <w:rFonts w:ascii="Arial" w:hAnsi="Arial" w:cs="Arial"/>
          <w:sz w:val="22"/>
          <w:szCs w:val="22"/>
        </w:rPr>
        <w:t xml:space="preserve">Frequently Asked Questions document that highlights many of the common inquiries we have received from </w:t>
      </w:r>
      <w:r w:rsidR="006F7233" w:rsidRPr="00D94466">
        <w:rPr>
          <w:rFonts w:ascii="Arial" w:hAnsi="Arial" w:cs="Arial"/>
          <w:sz w:val="22"/>
          <w:szCs w:val="22"/>
        </w:rPr>
        <w:t>policyholders</w:t>
      </w:r>
      <w:r w:rsidR="00270866" w:rsidRPr="00D94466">
        <w:rPr>
          <w:rFonts w:ascii="Arial" w:hAnsi="Arial" w:cs="Arial"/>
          <w:sz w:val="22"/>
          <w:szCs w:val="22"/>
        </w:rPr>
        <w:t xml:space="preserve">. </w:t>
      </w:r>
      <w:bookmarkEnd w:id="0"/>
      <w:r w:rsidR="00D94466" w:rsidRPr="006344A4">
        <w:rPr>
          <w:rFonts w:ascii="Arial" w:hAnsi="Arial" w:cs="Arial"/>
          <w:color w:val="000000"/>
          <w:sz w:val="22"/>
          <w:szCs w:val="22"/>
        </w:rPr>
        <w:t xml:space="preserve">Click </w:t>
      </w:r>
      <w:hyperlink r:id="rId7" w:history="1">
        <w:r w:rsidR="00D94466" w:rsidRPr="006344A4">
          <w:rPr>
            <w:rStyle w:val="Hyperlink"/>
            <w:rFonts w:ascii="Arial" w:hAnsi="Arial" w:cs="Arial"/>
            <w:sz w:val="22"/>
            <w:szCs w:val="22"/>
          </w:rPr>
          <w:t>Frequently Asked Questions</w:t>
        </w:r>
      </w:hyperlink>
      <w:r w:rsidR="00D94466" w:rsidRPr="006344A4">
        <w:rPr>
          <w:rFonts w:ascii="Arial" w:hAnsi="Arial" w:cs="Arial"/>
          <w:color w:val="000000"/>
          <w:sz w:val="22"/>
          <w:szCs w:val="22"/>
        </w:rPr>
        <w:t xml:space="preserve"> to access the FAQ document.</w:t>
      </w:r>
      <w:r w:rsidR="00D94466" w:rsidRPr="00D94466">
        <w:rPr>
          <w:rFonts w:ascii="Arial" w:hAnsi="Arial" w:cs="Arial"/>
          <w:color w:val="000000"/>
          <w:sz w:val="22"/>
          <w:szCs w:val="22"/>
        </w:rPr>
        <w:t xml:space="preserve"> </w:t>
      </w:r>
    </w:p>
    <w:p w14:paraId="778E8A73" w14:textId="06EB4BF8" w:rsidR="006F7233" w:rsidRPr="005C5BE5" w:rsidRDefault="006F7233" w:rsidP="00D94466">
      <w:pPr>
        <w:shd w:val="clear" w:color="auto" w:fill="FFFFFF"/>
        <w:ind w:left="720"/>
        <w:jc w:val="both"/>
        <w:rPr>
          <w:rFonts w:ascii="Arial" w:hAnsi="Arial" w:cs="Arial"/>
          <w:sz w:val="22"/>
          <w:szCs w:val="22"/>
        </w:rPr>
      </w:pPr>
    </w:p>
    <w:p w14:paraId="32625AFC" w14:textId="3C2A9B1E" w:rsidR="006F7233" w:rsidRPr="005C5BE5" w:rsidRDefault="006F7233" w:rsidP="00A83249">
      <w:pPr>
        <w:pStyle w:val="ListParagraph"/>
        <w:spacing w:after="0" w:line="240" w:lineRule="auto"/>
        <w:jc w:val="both"/>
        <w:rPr>
          <w:rFonts w:ascii="Arial" w:hAnsi="Arial" w:cs="Arial"/>
        </w:rPr>
      </w:pPr>
      <w:r w:rsidRPr="005C5BE5">
        <w:rPr>
          <w:rFonts w:ascii="Arial" w:eastAsia="Times New Roman" w:hAnsi="Arial" w:cs="Arial"/>
          <w:color w:val="1E1E1E"/>
        </w:rPr>
        <w:t xml:space="preserve">In addition, CAMICO has developed the following templates which are available on </w:t>
      </w:r>
      <w:r w:rsidRPr="005C5BE5">
        <w:rPr>
          <w:rFonts w:ascii="Arial" w:hAnsi="Arial" w:cs="Arial"/>
        </w:rPr>
        <w:t xml:space="preserve">the </w:t>
      </w:r>
      <w:r w:rsidRPr="005C5BE5">
        <w:rPr>
          <w:rFonts w:ascii="Arial" w:hAnsi="Arial" w:cs="Arial"/>
          <w:b/>
        </w:rPr>
        <w:t>Members-Only Site</w:t>
      </w:r>
      <w:r w:rsidRPr="005C5BE5">
        <w:rPr>
          <w:rFonts w:ascii="Arial" w:hAnsi="Arial" w:cs="Arial"/>
          <w:bCs/>
        </w:rPr>
        <w:t>’</w:t>
      </w:r>
      <w:r w:rsidRPr="005C5BE5">
        <w:rPr>
          <w:rFonts w:ascii="Arial" w:hAnsi="Arial" w:cs="Arial"/>
        </w:rPr>
        <w:t>s Engagement Letter Resource Center:</w:t>
      </w:r>
    </w:p>
    <w:p w14:paraId="02493D1C" w14:textId="77777777" w:rsidR="006F7233" w:rsidRPr="005C5BE5" w:rsidRDefault="006F7233" w:rsidP="00A83249">
      <w:pPr>
        <w:ind w:left="720"/>
        <w:jc w:val="both"/>
        <w:rPr>
          <w:rFonts w:ascii="Arial" w:eastAsia="Times New Roman" w:hAnsi="Arial" w:cs="Arial"/>
          <w:color w:val="1E1E1E"/>
          <w:sz w:val="22"/>
          <w:szCs w:val="22"/>
        </w:rPr>
      </w:pPr>
      <w:r w:rsidRPr="005C5BE5">
        <w:rPr>
          <w:rFonts w:ascii="Arial" w:eastAsia="Times New Roman" w:hAnsi="Arial" w:cs="Arial"/>
          <w:color w:val="1E1E1E"/>
          <w:sz w:val="22"/>
          <w:szCs w:val="22"/>
        </w:rPr>
        <w:t xml:space="preserve"> </w:t>
      </w:r>
    </w:p>
    <w:p w14:paraId="736AF677" w14:textId="77777777" w:rsidR="008A3C48" w:rsidRDefault="008A3C48" w:rsidP="00A83249">
      <w:pPr>
        <w:pStyle w:val="ListParagraph"/>
        <w:numPr>
          <w:ilvl w:val="0"/>
          <w:numId w:val="1"/>
        </w:numPr>
        <w:tabs>
          <w:tab w:val="clear" w:pos="720"/>
          <w:tab w:val="num" w:pos="1440"/>
        </w:tabs>
        <w:spacing w:after="0" w:line="240" w:lineRule="auto"/>
        <w:ind w:left="1440"/>
        <w:jc w:val="both"/>
        <w:rPr>
          <w:rFonts w:ascii="Arial" w:eastAsia="Times New Roman" w:hAnsi="Arial" w:cs="Arial"/>
          <w:color w:val="1E1E1E"/>
        </w:rPr>
      </w:pPr>
      <w:r w:rsidRPr="00710B96">
        <w:rPr>
          <w:rFonts w:ascii="Arial" w:eastAsia="Times New Roman" w:hAnsi="Arial" w:cs="Arial"/>
          <w:color w:val="1E1E1E"/>
        </w:rPr>
        <w:t>Client Notification Template</w:t>
      </w:r>
      <w:r>
        <w:rPr>
          <w:rFonts w:ascii="Arial" w:eastAsia="Times New Roman" w:hAnsi="Arial" w:cs="Arial"/>
          <w:color w:val="1E1E1E"/>
        </w:rPr>
        <w:t>: Corporate Transparency Act/Beneficial Ownership Reporting Requirements</w:t>
      </w:r>
    </w:p>
    <w:p w14:paraId="6383EC4E" w14:textId="66C6CB1D" w:rsidR="00172667" w:rsidRPr="00710B96" w:rsidRDefault="008A3C48" w:rsidP="00A83249">
      <w:pPr>
        <w:pStyle w:val="ListParagraph"/>
        <w:spacing w:after="0" w:line="240" w:lineRule="auto"/>
        <w:ind w:left="1440"/>
        <w:jc w:val="both"/>
        <w:rPr>
          <w:rFonts w:ascii="Arial" w:eastAsia="Times New Roman" w:hAnsi="Arial" w:cs="Arial"/>
          <w:color w:val="1E1E1E"/>
        </w:rPr>
      </w:pPr>
      <w:r w:rsidRPr="00710B96">
        <w:rPr>
          <w:rFonts w:ascii="Arial" w:eastAsia="Times New Roman" w:hAnsi="Arial" w:cs="Arial"/>
          <w:color w:val="1E1E1E"/>
        </w:rPr>
        <w:t xml:space="preserve"> </w:t>
      </w:r>
    </w:p>
    <w:p w14:paraId="3FDA6642" w14:textId="1F824453" w:rsidR="007E45AA" w:rsidRPr="00710B96" w:rsidRDefault="00172667" w:rsidP="00A83249">
      <w:pPr>
        <w:pStyle w:val="ListParagraph"/>
        <w:numPr>
          <w:ilvl w:val="0"/>
          <w:numId w:val="1"/>
        </w:numPr>
        <w:tabs>
          <w:tab w:val="clear" w:pos="720"/>
          <w:tab w:val="num" w:pos="1440"/>
        </w:tabs>
        <w:spacing w:after="0" w:line="240" w:lineRule="auto"/>
        <w:ind w:left="1440"/>
        <w:jc w:val="both"/>
        <w:rPr>
          <w:rFonts w:ascii="Arial" w:eastAsia="Times New Roman" w:hAnsi="Arial" w:cs="Arial"/>
          <w:color w:val="1E1E1E"/>
        </w:rPr>
      </w:pPr>
      <w:r w:rsidRPr="00710B96">
        <w:rPr>
          <w:rFonts w:ascii="Arial" w:hAnsi="Arial" w:cs="Arial"/>
        </w:rPr>
        <w:t xml:space="preserve">Engagement Letter: </w:t>
      </w:r>
      <w:r w:rsidR="007E45AA" w:rsidRPr="00710B96">
        <w:rPr>
          <w:rFonts w:ascii="Arial" w:hAnsi="Arial" w:cs="Arial"/>
        </w:rPr>
        <w:t>Administrative Services — Filing of Initial BOI Report</w:t>
      </w:r>
    </w:p>
    <w:p w14:paraId="536E0ADD" w14:textId="77777777" w:rsidR="007E45AA" w:rsidRPr="00710B96" w:rsidRDefault="007E45AA" w:rsidP="00A83249">
      <w:pPr>
        <w:pStyle w:val="ListParagraph"/>
        <w:spacing w:after="0" w:line="240" w:lineRule="auto"/>
        <w:ind w:left="1440"/>
        <w:jc w:val="both"/>
        <w:rPr>
          <w:rFonts w:ascii="Arial" w:eastAsia="Times New Roman" w:hAnsi="Arial" w:cs="Arial"/>
          <w:color w:val="1E1E1E"/>
        </w:rPr>
      </w:pPr>
    </w:p>
    <w:p w14:paraId="4EB9FA31" w14:textId="2BF94E91" w:rsidR="006F7233" w:rsidRPr="00710B96" w:rsidRDefault="00172667" w:rsidP="00A83249">
      <w:pPr>
        <w:pStyle w:val="ListParagraph"/>
        <w:numPr>
          <w:ilvl w:val="0"/>
          <w:numId w:val="1"/>
        </w:numPr>
        <w:tabs>
          <w:tab w:val="clear" w:pos="720"/>
          <w:tab w:val="num" w:pos="1440"/>
        </w:tabs>
        <w:spacing w:after="0" w:line="240" w:lineRule="auto"/>
        <w:ind w:left="1440"/>
        <w:jc w:val="both"/>
        <w:rPr>
          <w:rFonts w:ascii="Arial" w:eastAsia="Times New Roman" w:hAnsi="Arial" w:cs="Arial"/>
          <w:color w:val="1E1E1E"/>
        </w:rPr>
      </w:pPr>
      <w:r w:rsidRPr="008A3C48">
        <w:rPr>
          <w:rFonts w:ascii="Arial" w:hAnsi="Arial" w:cs="Arial"/>
        </w:rPr>
        <w:t>Engagement Letter:</w:t>
      </w:r>
      <w:r w:rsidRPr="00710B96">
        <w:rPr>
          <w:rFonts w:ascii="Arial" w:hAnsi="Arial" w:cs="Arial"/>
        </w:rPr>
        <w:t xml:space="preserve"> </w:t>
      </w:r>
      <w:r w:rsidR="006F7233" w:rsidRPr="00710B96">
        <w:rPr>
          <w:rFonts w:ascii="Arial" w:hAnsi="Arial" w:cs="Arial"/>
        </w:rPr>
        <w:t>Limited CTA Advisory Services — Filing of Initial BOI Report</w:t>
      </w:r>
    </w:p>
    <w:p w14:paraId="4FC00B49" w14:textId="77777777" w:rsidR="006F7233" w:rsidRPr="00710B96" w:rsidRDefault="006F7233" w:rsidP="00A83249">
      <w:pPr>
        <w:pStyle w:val="ListParagraph"/>
        <w:spacing w:after="0" w:line="240" w:lineRule="auto"/>
        <w:ind w:left="1440"/>
        <w:jc w:val="both"/>
        <w:rPr>
          <w:rFonts w:ascii="Arial" w:eastAsia="Times New Roman" w:hAnsi="Arial" w:cs="Arial"/>
          <w:color w:val="1E1E1E"/>
        </w:rPr>
      </w:pPr>
    </w:p>
    <w:p w14:paraId="26CA5EEC" w14:textId="77777777" w:rsidR="006F7233" w:rsidRPr="00710B96" w:rsidRDefault="006F7233" w:rsidP="00A83249">
      <w:pPr>
        <w:pStyle w:val="ListParagraph"/>
        <w:numPr>
          <w:ilvl w:val="0"/>
          <w:numId w:val="1"/>
        </w:numPr>
        <w:tabs>
          <w:tab w:val="clear" w:pos="720"/>
          <w:tab w:val="num" w:pos="1440"/>
        </w:tabs>
        <w:spacing w:after="0" w:line="240" w:lineRule="auto"/>
        <w:ind w:left="1440"/>
        <w:jc w:val="both"/>
        <w:rPr>
          <w:rFonts w:ascii="Arial" w:eastAsia="Times New Roman" w:hAnsi="Arial" w:cs="Arial"/>
          <w:color w:val="1E1E1E"/>
        </w:rPr>
      </w:pPr>
      <w:r w:rsidRPr="00710B96">
        <w:rPr>
          <w:rFonts w:ascii="Arial" w:hAnsi="Arial" w:cs="Arial"/>
        </w:rPr>
        <w:t>Management Representation Letter — Filing of Initial BOI Report</w:t>
      </w:r>
    </w:p>
    <w:p w14:paraId="3CA8417A" w14:textId="77777777" w:rsidR="006F7233" w:rsidRPr="005C5BE5" w:rsidRDefault="006F7233" w:rsidP="00A83249">
      <w:pPr>
        <w:pStyle w:val="ListParagraph"/>
        <w:spacing w:after="0" w:line="240" w:lineRule="auto"/>
        <w:ind w:left="1440"/>
        <w:jc w:val="both"/>
        <w:rPr>
          <w:rFonts w:ascii="Arial" w:eastAsia="Times New Roman" w:hAnsi="Arial" w:cs="Arial"/>
          <w:color w:val="1E1E1E"/>
        </w:rPr>
      </w:pPr>
    </w:p>
    <w:p w14:paraId="3E8C832C" w14:textId="1FB40D38" w:rsidR="00DA6A8B" w:rsidRPr="005D78EA" w:rsidRDefault="006F7233" w:rsidP="000F3F12">
      <w:pPr>
        <w:ind w:left="720"/>
        <w:jc w:val="both"/>
        <w:rPr>
          <w:rFonts w:ascii="Arial" w:hAnsi="Arial" w:cs="Arial"/>
        </w:rPr>
      </w:pPr>
      <w:r w:rsidRPr="005C5BE5">
        <w:rPr>
          <w:rFonts w:ascii="Arial" w:eastAsia="Times New Roman" w:hAnsi="Arial" w:cs="Arial"/>
          <w:color w:val="1E1E1E"/>
          <w:sz w:val="22"/>
          <w:szCs w:val="22"/>
        </w:rPr>
        <w:t xml:space="preserve">CAMICO policyholders with questions should contact the Loss Prevention department by email at </w:t>
      </w:r>
      <w:bookmarkStart w:id="1" w:name="LP_Email"/>
      <w:r w:rsidRPr="005C5BE5">
        <w:rPr>
          <w:rFonts w:ascii="Arial" w:eastAsia="Times New Roman" w:hAnsi="Arial" w:cs="Arial"/>
          <w:color w:val="1E1E1E"/>
          <w:sz w:val="22"/>
          <w:szCs w:val="22"/>
        </w:rPr>
        <w:fldChar w:fldCharType="begin"/>
      </w:r>
      <w:r w:rsidRPr="005C5BE5">
        <w:rPr>
          <w:rFonts w:ascii="Arial" w:eastAsia="Times New Roman" w:hAnsi="Arial" w:cs="Arial"/>
          <w:color w:val="1E1E1E"/>
          <w:sz w:val="22"/>
          <w:szCs w:val="22"/>
        </w:rPr>
        <w:instrText>HYPERLINK "mailto:lp@camico.com" \t "_blank"</w:instrText>
      </w:r>
      <w:r w:rsidRPr="005C5BE5">
        <w:rPr>
          <w:rFonts w:ascii="Arial" w:eastAsia="Times New Roman" w:hAnsi="Arial" w:cs="Arial"/>
          <w:color w:val="1E1E1E"/>
          <w:sz w:val="22"/>
          <w:szCs w:val="22"/>
        </w:rPr>
      </w:r>
      <w:r w:rsidRPr="005C5BE5">
        <w:rPr>
          <w:rFonts w:ascii="Arial" w:eastAsia="Times New Roman" w:hAnsi="Arial" w:cs="Arial"/>
          <w:color w:val="1E1E1E"/>
          <w:sz w:val="22"/>
          <w:szCs w:val="22"/>
        </w:rPr>
        <w:fldChar w:fldCharType="separate"/>
      </w:r>
      <w:r w:rsidRPr="005C5BE5">
        <w:rPr>
          <w:rStyle w:val="Hyperlink"/>
          <w:rFonts w:ascii="Arial" w:eastAsia="Times New Roman" w:hAnsi="Arial" w:cs="Arial"/>
          <w:sz w:val="22"/>
          <w:szCs w:val="22"/>
        </w:rPr>
        <w:t>lp@camico.com</w:t>
      </w:r>
      <w:bookmarkEnd w:id="1"/>
      <w:r w:rsidRPr="005C5BE5">
        <w:rPr>
          <w:rFonts w:ascii="Arial" w:eastAsia="Times New Roman" w:hAnsi="Arial" w:cs="Arial"/>
          <w:color w:val="1E1E1E"/>
          <w:sz w:val="22"/>
          <w:szCs w:val="22"/>
        </w:rPr>
        <w:fldChar w:fldCharType="end"/>
      </w:r>
      <w:r w:rsidRPr="005C5BE5">
        <w:rPr>
          <w:rFonts w:ascii="Arial" w:eastAsia="Times New Roman" w:hAnsi="Arial" w:cs="Arial"/>
          <w:color w:val="1E1E1E"/>
          <w:sz w:val="22"/>
          <w:szCs w:val="22"/>
        </w:rPr>
        <w:t xml:space="preserve"> or call 1.800.652.1772 and ask to speak with a Loss Prevention Specialist. Additional risk management resources are available on CAMICO’s Members-Only Site (</w:t>
      </w:r>
      <w:bookmarkStart w:id="2" w:name="CAMICO_Members_Only_Site"/>
      <w:r w:rsidRPr="005C5BE5">
        <w:rPr>
          <w:rFonts w:ascii="Arial" w:eastAsia="Times New Roman" w:hAnsi="Arial" w:cs="Arial"/>
          <w:color w:val="1E1E1E"/>
          <w:sz w:val="22"/>
          <w:szCs w:val="22"/>
        </w:rPr>
        <w:fldChar w:fldCharType="begin"/>
      </w:r>
      <w:r w:rsidRPr="005C5BE5">
        <w:rPr>
          <w:rFonts w:ascii="Arial" w:eastAsia="Times New Roman" w:hAnsi="Arial" w:cs="Arial"/>
          <w:color w:val="1E1E1E"/>
          <w:sz w:val="22"/>
          <w:szCs w:val="22"/>
        </w:rPr>
        <w:instrText>HYPERLINK "https://links.mkt.cpa.camico.com/els/v2/a_ERcVEy8Zt_/TEw3b0xMRWt2QktFWXNCK3ZHL3dGamFHZmhCSlV0blM4eUQ1OGs4VUVxMUcwRCszLytKZUZ5UnB1dEU4ZFI1RlVCZHJDa2swRFlDT0ZwYi9zT3pJTks5MTB1T2lRbkFFVzRhb0hOS3Jwclk9S0/" \t "_blank"</w:instrText>
      </w:r>
      <w:r w:rsidRPr="005C5BE5">
        <w:rPr>
          <w:rFonts w:ascii="Arial" w:eastAsia="Times New Roman" w:hAnsi="Arial" w:cs="Arial"/>
          <w:color w:val="1E1E1E"/>
          <w:sz w:val="22"/>
          <w:szCs w:val="22"/>
        </w:rPr>
      </w:r>
      <w:r w:rsidRPr="005C5BE5">
        <w:rPr>
          <w:rFonts w:ascii="Arial" w:eastAsia="Times New Roman" w:hAnsi="Arial" w:cs="Arial"/>
          <w:color w:val="1E1E1E"/>
          <w:sz w:val="22"/>
          <w:szCs w:val="22"/>
        </w:rPr>
        <w:fldChar w:fldCharType="separate"/>
      </w:r>
      <w:r w:rsidRPr="005C5BE5">
        <w:rPr>
          <w:rStyle w:val="Hyperlink"/>
          <w:rFonts w:ascii="Arial" w:eastAsia="Times New Roman" w:hAnsi="Arial" w:cs="Arial"/>
          <w:sz w:val="22"/>
          <w:szCs w:val="22"/>
        </w:rPr>
        <w:t>https://www.camico.com</w:t>
      </w:r>
      <w:bookmarkEnd w:id="2"/>
      <w:r w:rsidRPr="005C5BE5">
        <w:rPr>
          <w:rFonts w:ascii="Arial" w:eastAsia="Times New Roman" w:hAnsi="Arial" w:cs="Arial"/>
          <w:color w:val="1E1E1E"/>
          <w:sz w:val="22"/>
          <w:szCs w:val="22"/>
        </w:rPr>
        <w:fldChar w:fldCharType="end"/>
      </w:r>
      <w:r w:rsidRPr="005C5BE5">
        <w:rPr>
          <w:rFonts w:ascii="Arial" w:eastAsia="Times New Roman" w:hAnsi="Arial" w:cs="Arial"/>
          <w:color w:val="1E1E1E"/>
          <w:sz w:val="22"/>
          <w:szCs w:val="22"/>
        </w:rPr>
        <w:t>).</w:t>
      </w:r>
    </w:p>
    <w:sectPr w:rsidR="00DA6A8B" w:rsidRPr="005D78EA" w:rsidSect="00FF3CDB">
      <w:footerReference w:type="default" r:id="rId8"/>
      <w:pgSz w:w="12240" w:h="15840" w:code="1"/>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ADBEB" w14:textId="77777777" w:rsidR="00FF3CDB" w:rsidRDefault="00FF3CDB" w:rsidP="006F0C26">
      <w:r>
        <w:separator/>
      </w:r>
    </w:p>
  </w:endnote>
  <w:endnote w:type="continuationSeparator" w:id="0">
    <w:p w14:paraId="61EC13BF" w14:textId="77777777" w:rsidR="00FF3CDB" w:rsidRDefault="00FF3CDB" w:rsidP="006F0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C1992" w14:textId="77777777" w:rsidR="006017D5" w:rsidRDefault="006017D5" w:rsidP="006017D5">
    <w:pPr>
      <w:pStyle w:val="Footer"/>
      <w:tabs>
        <w:tab w:val="clear" w:pos="9360"/>
        <w:tab w:val="right" w:pos="10080"/>
      </w:tabs>
    </w:pPr>
    <w:r w:rsidRPr="004836CD">
      <w:t>© CAMICO. All rights reserved.</w:t>
    </w:r>
    <w:r>
      <w:tab/>
    </w:r>
    <w:r>
      <w:tab/>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8</w:t>
      </w:r>
    </w:fldSimple>
  </w:p>
  <w:p w14:paraId="10CDCC5C" w14:textId="5FF0D904" w:rsidR="006017D5" w:rsidRPr="004B3450" w:rsidRDefault="006017D5" w:rsidP="006017D5">
    <w:pPr>
      <w:pStyle w:val="Footer"/>
      <w:tabs>
        <w:tab w:val="clear" w:pos="9360"/>
        <w:tab w:val="right" w:pos="10080"/>
      </w:tabs>
    </w:pPr>
    <w:r>
      <w:t>February 2024</w:t>
    </w:r>
  </w:p>
  <w:p w14:paraId="44F7567A" w14:textId="77777777" w:rsidR="006017D5" w:rsidRDefault="006017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72134" w14:textId="77777777" w:rsidR="00FF3CDB" w:rsidRDefault="00FF3CDB" w:rsidP="006F0C26">
      <w:r>
        <w:separator/>
      </w:r>
    </w:p>
  </w:footnote>
  <w:footnote w:type="continuationSeparator" w:id="0">
    <w:p w14:paraId="3BECEBFF" w14:textId="77777777" w:rsidR="00FF3CDB" w:rsidRDefault="00FF3CDB" w:rsidP="006F0C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A70FE"/>
    <w:multiLevelType w:val="multilevel"/>
    <w:tmpl w:val="530EB7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3527DA"/>
    <w:multiLevelType w:val="hybridMultilevel"/>
    <w:tmpl w:val="0E2E712E"/>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16cid:durableId="414405295">
    <w:abstractNumId w:val="0"/>
  </w:num>
  <w:num w:numId="2" w16cid:durableId="1287463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C26"/>
    <w:rsid w:val="000112B5"/>
    <w:rsid w:val="0002355B"/>
    <w:rsid w:val="00057164"/>
    <w:rsid w:val="000E52A3"/>
    <w:rsid w:val="000F3F12"/>
    <w:rsid w:val="00141AC8"/>
    <w:rsid w:val="00172667"/>
    <w:rsid w:val="001A10AF"/>
    <w:rsid w:val="001C4942"/>
    <w:rsid w:val="001C7BCE"/>
    <w:rsid w:val="00216CB0"/>
    <w:rsid w:val="002466A0"/>
    <w:rsid w:val="00263A1A"/>
    <w:rsid w:val="00270866"/>
    <w:rsid w:val="00276DAE"/>
    <w:rsid w:val="002B34F2"/>
    <w:rsid w:val="002E74CC"/>
    <w:rsid w:val="00383EAA"/>
    <w:rsid w:val="003D09A5"/>
    <w:rsid w:val="003E0E73"/>
    <w:rsid w:val="00402227"/>
    <w:rsid w:val="004B5B07"/>
    <w:rsid w:val="005C5BE5"/>
    <w:rsid w:val="005D78EA"/>
    <w:rsid w:val="006017D5"/>
    <w:rsid w:val="00605CB6"/>
    <w:rsid w:val="006344A4"/>
    <w:rsid w:val="0063480C"/>
    <w:rsid w:val="006A192B"/>
    <w:rsid w:val="006B3484"/>
    <w:rsid w:val="006B58C1"/>
    <w:rsid w:val="006F0C26"/>
    <w:rsid w:val="006F7233"/>
    <w:rsid w:val="00710B96"/>
    <w:rsid w:val="00742F30"/>
    <w:rsid w:val="00775631"/>
    <w:rsid w:val="0079044C"/>
    <w:rsid w:val="007E45AA"/>
    <w:rsid w:val="007E5FB6"/>
    <w:rsid w:val="00813361"/>
    <w:rsid w:val="0083570A"/>
    <w:rsid w:val="0089224C"/>
    <w:rsid w:val="008A3C48"/>
    <w:rsid w:val="008E5913"/>
    <w:rsid w:val="00941FF9"/>
    <w:rsid w:val="009A4345"/>
    <w:rsid w:val="00A82359"/>
    <w:rsid w:val="00A83249"/>
    <w:rsid w:val="00AA4BF9"/>
    <w:rsid w:val="00AA57EA"/>
    <w:rsid w:val="00AA7B55"/>
    <w:rsid w:val="00AB1D97"/>
    <w:rsid w:val="00B44C03"/>
    <w:rsid w:val="00B47955"/>
    <w:rsid w:val="00B555C1"/>
    <w:rsid w:val="00B77071"/>
    <w:rsid w:val="00BA3DBF"/>
    <w:rsid w:val="00BE585A"/>
    <w:rsid w:val="00BF6A62"/>
    <w:rsid w:val="00C053FB"/>
    <w:rsid w:val="00C85CFE"/>
    <w:rsid w:val="00C8702C"/>
    <w:rsid w:val="00CA52FD"/>
    <w:rsid w:val="00D455C1"/>
    <w:rsid w:val="00D57983"/>
    <w:rsid w:val="00D94466"/>
    <w:rsid w:val="00DA6A8B"/>
    <w:rsid w:val="00DB4D2D"/>
    <w:rsid w:val="00E62599"/>
    <w:rsid w:val="00E63DEC"/>
    <w:rsid w:val="00E65EF4"/>
    <w:rsid w:val="00EA3F6D"/>
    <w:rsid w:val="00ED58AA"/>
    <w:rsid w:val="00F06B7B"/>
    <w:rsid w:val="00F65A4F"/>
    <w:rsid w:val="00F83839"/>
    <w:rsid w:val="00FA326D"/>
    <w:rsid w:val="00FF3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3C5FA"/>
  <w15:chartTrackingRefBased/>
  <w15:docId w15:val="{E3F7FE2C-4043-4C40-8984-8D1BAE843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C26"/>
    <w:pPr>
      <w:spacing w:after="0" w:line="240" w:lineRule="auto"/>
    </w:pPr>
    <w:rPr>
      <w:rFonts w:ascii="Aptos" w:hAnsi="Aptos" w:cs="Calibri"/>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C26"/>
    <w:pPr>
      <w:spacing w:after="160" w:line="252" w:lineRule="auto"/>
      <w:ind w:left="720"/>
      <w:contextualSpacing/>
    </w:pPr>
    <w:rPr>
      <w:rFonts w:ascii="Calibri" w:hAnsi="Calibri"/>
      <w:sz w:val="22"/>
      <w:szCs w:val="22"/>
    </w:rPr>
  </w:style>
  <w:style w:type="character" w:styleId="Hyperlink">
    <w:name w:val="Hyperlink"/>
    <w:basedOn w:val="DefaultParagraphFont"/>
    <w:uiPriority w:val="99"/>
    <w:unhideWhenUsed/>
    <w:rsid w:val="006F0C26"/>
    <w:rPr>
      <w:color w:val="0563C1" w:themeColor="hyperlink"/>
      <w:u w:val="single"/>
    </w:rPr>
  </w:style>
  <w:style w:type="paragraph" w:styleId="FootnoteText">
    <w:name w:val="footnote text"/>
    <w:basedOn w:val="Normal"/>
    <w:link w:val="FootnoteTextChar"/>
    <w:uiPriority w:val="99"/>
    <w:unhideWhenUsed/>
    <w:rsid w:val="006F0C26"/>
    <w:rPr>
      <w:rFonts w:asciiTheme="minorHAnsi" w:eastAsia="Times New Roman" w:hAnsiTheme="minorHAnsi" w:cs="Times New Roman"/>
    </w:rPr>
  </w:style>
  <w:style w:type="character" w:customStyle="1" w:styleId="FootnoteTextChar">
    <w:name w:val="Footnote Text Char"/>
    <w:basedOn w:val="DefaultParagraphFont"/>
    <w:link w:val="FootnoteText"/>
    <w:uiPriority w:val="99"/>
    <w:rsid w:val="006F0C26"/>
    <w:rPr>
      <w:rFonts w:eastAsia="Times New Roman" w:cs="Times New Roman"/>
      <w:kern w:val="0"/>
      <w:sz w:val="20"/>
      <w:szCs w:val="20"/>
      <w14:ligatures w14:val="none"/>
    </w:rPr>
  </w:style>
  <w:style w:type="character" w:styleId="FootnoteReference">
    <w:name w:val="footnote reference"/>
    <w:basedOn w:val="DefaultParagraphFont"/>
    <w:uiPriority w:val="99"/>
    <w:semiHidden/>
    <w:unhideWhenUsed/>
    <w:rsid w:val="006F0C26"/>
    <w:rPr>
      <w:rFonts w:cs="Times New Roman"/>
      <w:vertAlign w:val="superscript"/>
    </w:rPr>
  </w:style>
  <w:style w:type="paragraph" w:styleId="Header">
    <w:name w:val="header"/>
    <w:basedOn w:val="Normal"/>
    <w:link w:val="HeaderChar"/>
    <w:uiPriority w:val="99"/>
    <w:unhideWhenUsed/>
    <w:rsid w:val="006017D5"/>
    <w:pPr>
      <w:tabs>
        <w:tab w:val="center" w:pos="4680"/>
        <w:tab w:val="right" w:pos="9360"/>
      </w:tabs>
    </w:pPr>
  </w:style>
  <w:style w:type="character" w:customStyle="1" w:styleId="HeaderChar">
    <w:name w:val="Header Char"/>
    <w:basedOn w:val="DefaultParagraphFont"/>
    <w:link w:val="Header"/>
    <w:uiPriority w:val="99"/>
    <w:rsid w:val="006017D5"/>
    <w:rPr>
      <w:rFonts w:ascii="Aptos" w:hAnsi="Aptos" w:cs="Calibri"/>
      <w:kern w:val="0"/>
      <w:sz w:val="20"/>
      <w:szCs w:val="20"/>
      <w14:ligatures w14:val="none"/>
    </w:rPr>
  </w:style>
  <w:style w:type="paragraph" w:styleId="Footer">
    <w:name w:val="footer"/>
    <w:basedOn w:val="Normal"/>
    <w:link w:val="FooterChar"/>
    <w:uiPriority w:val="99"/>
    <w:unhideWhenUsed/>
    <w:rsid w:val="006017D5"/>
    <w:pPr>
      <w:tabs>
        <w:tab w:val="center" w:pos="4680"/>
        <w:tab w:val="right" w:pos="9360"/>
      </w:tabs>
    </w:pPr>
  </w:style>
  <w:style w:type="character" w:customStyle="1" w:styleId="FooterChar">
    <w:name w:val="Footer Char"/>
    <w:basedOn w:val="DefaultParagraphFont"/>
    <w:link w:val="Footer"/>
    <w:uiPriority w:val="99"/>
    <w:rsid w:val="006017D5"/>
    <w:rPr>
      <w:rFonts w:ascii="Aptos" w:hAnsi="Aptos" w:cs="Calibri"/>
      <w:kern w:val="0"/>
      <w:sz w:val="20"/>
      <w:szCs w:val="20"/>
      <w14:ligatures w14:val="none"/>
    </w:rPr>
  </w:style>
  <w:style w:type="character" w:styleId="UnresolvedMention">
    <w:name w:val="Unresolved Mention"/>
    <w:basedOn w:val="DefaultParagraphFont"/>
    <w:uiPriority w:val="99"/>
    <w:semiHidden/>
    <w:unhideWhenUsed/>
    <w:rsid w:val="002B34F2"/>
    <w:rPr>
      <w:color w:val="605E5C"/>
      <w:shd w:val="clear" w:color="auto" w:fill="E1DFDD"/>
    </w:rPr>
  </w:style>
  <w:style w:type="character" w:styleId="Strong">
    <w:name w:val="Strong"/>
    <w:basedOn w:val="DefaultParagraphFont"/>
    <w:uiPriority w:val="22"/>
    <w:qFormat/>
    <w:rsid w:val="006F7233"/>
    <w:rPr>
      <w:b/>
      <w:bCs/>
    </w:rPr>
  </w:style>
  <w:style w:type="paragraph" w:styleId="Revision">
    <w:name w:val="Revision"/>
    <w:hidden/>
    <w:uiPriority w:val="99"/>
    <w:semiHidden/>
    <w:rsid w:val="00F65A4F"/>
    <w:pPr>
      <w:spacing w:after="0" w:line="240" w:lineRule="auto"/>
    </w:pPr>
    <w:rPr>
      <w:rFonts w:ascii="Aptos" w:hAnsi="Aptos" w:cs="Calibri"/>
      <w:kern w:val="0"/>
      <w:sz w:val="20"/>
      <w:szCs w:val="20"/>
      <w14:ligatures w14:val="none"/>
    </w:rPr>
  </w:style>
  <w:style w:type="character" w:styleId="CommentReference">
    <w:name w:val="annotation reference"/>
    <w:basedOn w:val="DefaultParagraphFont"/>
    <w:uiPriority w:val="99"/>
    <w:semiHidden/>
    <w:unhideWhenUsed/>
    <w:rsid w:val="000112B5"/>
    <w:rPr>
      <w:sz w:val="16"/>
      <w:szCs w:val="16"/>
    </w:rPr>
  </w:style>
  <w:style w:type="paragraph" w:styleId="CommentText">
    <w:name w:val="annotation text"/>
    <w:basedOn w:val="Normal"/>
    <w:link w:val="CommentTextChar"/>
    <w:uiPriority w:val="99"/>
    <w:unhideWhenUsed/>
    <w:rsid w:val="000112B5"/>
  </w:style>
  <w:style w:type="character" w:customStyle="1" w:styleId="CommentTextChar">
    <w:name w:val="Comment Text Char"/>
    <w:basedOn w:val="DefaultParagraphFont"/>
    <w:link w:val="CommentText"/>
    <w:uiPriority w:val="99"/>
    <w:rsid w:val="000112B5"/>
    <w:rPr>
      <w:rFonts w:ascii="Aptos" w:hAnsi="Aptos"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112B5"/>
    <w:rPr>
      <w:b/>
      <w:bCs/>
    </w:rPr>
  </w:style>
  <w:style w:type="character" w:customStyle="1" w:styleId="CommentSubjectChar">
    <w:name w:val="Comment Subject Char"/>
    <w:basedOn w:val="CommentTextChar"/>
    <w:link w:val="CommentSubject"/>
    <w:uiPriority w:val="99"/>
    <w:semiHidden/>
    <w:rsid w:val="000112B5"/>
    <w:rPr>
      <w:rFonts w:ascii="Aptos" w:hAnsi="Aptos" w:cs="Calibr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636841">
      <w:bodyDiv w:val="1"/>
      <w:marLeft w:val="0"/>
      <w:marRight w:val="0"/>
      <w:marTop w:val="0"/>
      <w:marBottom w:val="0"/>
      <w:divBdr>
        <w:top w:val="none" w:sz="0" w:space="0" w:color="auto"/>
        <w:left w:val="none" w:sz="0" w:space="0" w:color="auto"/>
        <w:bottom w:val="none" w:sz="0" w:space="0" w:color="auto"/>
        <w:right w:val="none" w:sz="0" w:space="0" w:color="auto"/>
      </w:divBdr>
    </w:div>
    <w:div w:id="1323660321">
      <w:bodyDiv w:val="1"/>
      <w:marLeft w:val="0"/>
      <w:marRight w:val="0"/>
      <w:marTop w:val="0"/>
      <w:marBottom w:val="0"/>
      <w:divBdr>
        <w:top w:val="none" w:sz="0" w:space="0" w:color="auto"/>
        <w:left w:val="none" w:sz="0" w:space="0" w:color="auto"/>
        <w:bottom w:val="none" w:sz="0" w:space="0" w:color="auto"/>
        <w:right w:val="none" w:sz="0" w:space="0" w:color="auto"/>
      </w:divBdr>
    </w:div>
    <w:div w:id="136945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amico.com/wp-content/uploads/2024/02/CAMICO-CTA_FAQ-Updated-02-07-202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911</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CAMICO-CTA/BOI Reporting Coverage Considerations for CPA Firms</vt:lpstr>
    </vt:vector>
  </TitlesOfParts>
  <Company>CAMICO</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CAMICO-CTA/BOI Reporting Coverage Considerations for CPA Firms</dc:title>
  <dc:subject/>
  <dc:creator>Suzanne Holl</dc:creator>
  <cp:keywords/>
  <dc:description>(C) CAMICO. All rights reserved.</dc:description>
  <cp:lastModifiedBy>Michelle Lobo</cp:lastModifiedBy>
  <cp:revision>4</cp:revision>
  <dcterms:created xsi:type="dcterms:W3CDTF">2024-02-08T19:03:00Z</dcterms:created>
  <dcterms:modified xsi:type="dcterms:W3CDTF">2024-02-08T20:30:00Z</dcterms:modified>
</cp:coreProperties>
</file>